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48" w:rsidRDefault="00652F48" w:rsidP="00652F48">
      <w:pPr>
        <w:spacing w:before="86" w:line="360" w:lineRule="auto"/>
        <w:ind w:right="391"/>
        <w:jc w:val="center"/>
        <w:rPr>
          <w:rFonts w:ascii="Times New Roman" w:hAnsi="Times New Roman" w:cs="Times New Roman"/>
          <w:b/>
          <w:w w:val="105"/>
          <w:lang w:val="es-ES"/>
        </w:rPr>
      </w:pPr>
      <w:r>
        <w:rPr>
          <w:rFonts w:ascii="Times New Roman" w:hAnsi="Times New Roman" w:cs="Times New Roman"/>
          <w:b/>
          <w:w w:val="105"/>
          <w:lang w:val="es-ES"/>
        </w:rPr>
        <w:t>La</w:t>
      </w:r>
      <w:r w:rsidRPr="00897FD9">
        <w:rPr>
          <w:rFonts w:ascii="Times New Roman" w:hAnsi="Times New Roman" w:cs="Times New Roman"/>
          <w:b/>
          <w:w w:val="105"/>
          <w:lang w:val="es-ES"/>
        </w:rPr>
        <w:t xml:space="preserve"> deuda de los hogares</w:t>
      </w:r>
      <w:r>
        <w:rPr>
          <w:rFonts w:ascii="Times New Roman" w:hAnsi="Times New Roman" w:cs="Times New Roman"/>
          <w:b/>
          <w:w w:val="105"/>
          <w:lang w:val="es-ES"/>
        </w:rPr>
        <w:t xml:space="preserve"> en</w:t>
      </w:r>
      <w:r w:rsidRPr="00897FD9">
        <w:rPr>
          <w:rFonts w:ascii="Times New Roman" w:hAnsi="Times New Roman" w:cs="Times New Roman"/>
          <w:b/>
          <w:w w:val="105"/>
          <w:lang w:val="es-ES"/>
        </w:rPr>
        <w:t xml:space="preserve"> América Latina</w:t>
      </w:r>
      <w:r>
        <w:rPr>
          <w:rFonts w:ascii="Times New Roman" w:hAnsi="Times New Roman" w:cs="Times New Roman"/>
          <w:b/>
          <w:w w:val="105"/>
          <w:lang w:val="es-ES"/>
        </w:rPr>
        <w:t>. Un análisis de determinantes para el período 2001-2021</w:t>
      </w:r>
    </w:p>
    <w:p w:rsidR="00904756" w:rsidRPr="00897FD9" w:rsidRDefault="00904756" w:rsidP="00652F48">
      <w:pPr>
        <w:spacing w:before="86" w:line="360" w:lineRule="auto"/>
        <w:ind w:right="391"/>
        <w:jc w:val="center"/>
        <w:rPr>
          <w:rFonts w:ascii="Times New Roman" w:hAnsi="Times New Roman" w:cs="Times New Roman"/>
          <w:b/>
          <w:w w:val="105"/>
          <w:lang w:val="es-ES"/>
        </w:rPr>
      </w:pPr>
    </w:p>
    <w:p w:rsidR="005E49E5" w:rsidRDefault="00603AC2" w:rsidP="00652F48">
      <w:pPr>
        <w:spacing w:before="86" w:line="360" w:lineRule="auto"/>
        <w:ind w:right="391"/>
        <w:jc w:val="center"/>
        <w:rPr>
          <w:rFonts w:ascii="Times New Roman" w:hAnsi="Times New Roman" w:cs="Times New Roman"/>
          <w:b/>
          <w:spacing w:val="-5"/>
          <w:w w:val="105"/>
        </w:rPr>
      </w:pPr>
      <w:r w:rsidRPr="00652F48">
        <w:rPr>
          <w:rFonts w:ascii="Times New Roman" w:hAnsi="Times New Roman" w:cs="Times New Roman"/>
          <w:b/>
          <w:spacing w:val="-5"/>
          <w:w w:val="105"/>
        </w:rPr>
        <w:t xml:space="preserve">Determinants </w:t>
      </w:r>
      <w:r w:rsidR="00507800" w:rsidRPr="00652F48">
        <w:rPr>
          <w:rFonts w:ascii="Times New Roman" w:hAnsi="Times New Roman" w:cs="Times New Roman"/>
          <w:b/>
          <w:spacing w:val="-5"/>
          <w:w w:val="105"/>
        </w:rPr>
        <w:t>of Household Indebtedness: Evidence from Latin American Countries</w:t>
      </w:r>
    </w:p>
    <w:p w:rsidR="00904756" w:rsidRPr="00652F48" w:rsidRDefault="00904756" w:rsidP="00652F48">
      <w:pPr>
        <w:spacing w:before="86" w:line="360" w:lineRule="auto"/>
        <w:ind w:right="391"/>
        <w:jc w:val="center"/>
        <w:rPr>
          <w:rFonts w:ascii="Times New Roman" w:hAnsi="Times New Roman" w:cs="Times New Roman"/>
          <w:i/>
        </w:rPr>
      </w:pPr>
    </w:p>
    <w:p w:rsidR="005E49E5" w:rsidRPr="003A6E9B" w:rsidRDefault="00652F48" w:rsidP="00652F48">
      <w:pPr>
        <w:pStyle w:val="Textoindependiente"/>
        <w:spacing w:before="1" w:line="360" w:lineRule="auto"/>
        <w:jc w:val="center"/>
        <w:rPr>
          <w:rFonts w:ascii="Times New Roman" w:hAnsi="Times New Roman" w:cs="Times New Roman"/>
          <w:i/>
          <w:sz w:val="22"/>
          <w:szCs w:val="22"/>
          <w:lang w:val="es-ES"/>
        </w:rPr>
      </w:pPr>
      <w:r w:rsidRPr="003A6E9B">
        <w:rPr>
          <w:rFonts w:ascii="Times New Roman" w:hAnsi="Times New Roman" w:cs="Times New Roman"/>
          <w:i/>
          <w:sz w:val="22"/>
          <w:szCs w:val="22"/>
          <w:lang w:val="es-ES"/>
        </w:rPr>
        <w:t>Cristian Rabanal</w:t>
      </w:r>
      <w:r>
        <w:rPr>
          <w:rStyle w:val="Refdenotaalpie"/>
          <w:rFonts w:ascii="Times New Roman" w:hAnsi="Times New Roman" w:cs="Times New Roman"/>
          <w:i/>
          <w:sz w:val="22"/>
          <w:szCs w:val="22"/>
        </w:rPr>
        <w:footnoteReference w:id="1"/>
      </w:r>
    </w:p>
    <w:p w:rsidR="001E3566" w:rsidRPr="003A6E9B" w:rsidRDefault="001E3566" w:rsidP="00652F48">
      <w:pPr>
        <w:pStyle w:val="Textoindependiente"/>
        <w:spacing w:before="1" w:line="360" w:lineRule="auto"/>
        <w:rPr>
          <w:rFonts w:ascii="Times New Roman" w:hAnsi="Times New Roman" w:cs="Times New Roman"/>
          <w:i/>
          <w:sz w:val="22"/>
          <w:szCs w:val="22"/>
          <w:lang w:val="es-ES"/>
        </w:rPr>
      </w:pPr>
    </w:p>
    <w:p w:rsidR="00904756" w:rsidRPr="003A6E9B" w:rsidRDefault="005E49E5" w:rsidP="00652F48">
      <w:pPr>
        <w:pStyle w:val="Textoindependiente"/>
        <w:spacing w:after="240" w:line="360" w:lineRule="auto"/>
        <w:jc w:val="both"/>
        <w:rPr>
          <w:rFonts w:ascii="Times New Roman" w:hAnsi="Times New Roman" w:cs="Times New Roman"/>
          <w:b/>
          <w:sz w:val="22"/>
          <w:szCs w:val="22"/>
          <w:lang w:val="es-ES"/>
        </w:rPr>
      </w:pPr>
      <w:r w:rsidRPr="003A6E9B">
        <w:rPr>
          <w:rFonts w:ascii="Times New Roman" w:hAnsi="Times New Roman" w:cs="Times New Roman"/>
          <w:b/>
          <w:sz w:val="22"/>
          <w:szCs w:val="22"/>
          <w:lang w:val="es-ES"/>
        </w:rPr>
        <w:t>Resumen</w:t>
      </w:r>
    </w:p>
    <w:p w:rsidR="005E49E5" w:rsidRDefault="005E49E5" w:rsidP="00652F48">
      <w:pPr>
        <w:pStyle w:val="Textoindependiente"/>
        <w:spacing w:after="240"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Ha sido bien documentado en la literatura el impacto negativo que un rápido crecimiento de la deuda de los hogares puede ocasionar sobre el crecimiento económico futuro. Esto ha despertado gran interés entre los economistas para comprender cuáles son los factores que pueden afectar a dicho nivel de deuda, tanto desde el punto de vista teórico como así también desde la perspectiva del </w:t>
      </w:r>
      <w:r w:rsidRPr="00652F48">
        <w:rPr>
          <w:rFonts w:ascii="Times New Roman" w:hAnsi="Times New Roman" w:cs="Times New Roman"/>
          <w:i/>
          <w:sz w:val="22"/>
          <w:szCs w:val="22"/>
          <w:lang w:val="es-ES"/>
        </w:rPr>
        <w:t>policy maker</w:t>
      </w:r>
      <w:r w:rsidRPr="00652F48">
        <w:rPr>
          <w:rFonts w:ascii="Times New Roman" w:hAnsi="Times New Roman" w:cs="Times New Roman"/>
          <w:sz w:val="22"/>
          <w:szCs w:val="22"/>
          <w:lang w:val="es-ES"/>
        </w:rPr>
        <w:t xml:space="preserve">. En general, los hacedores de políticas podrán comparar los beneficios y riesgos de la deuda de los hogares a lo largo de varios horizontes de tiempo, mientras que los académicos podrán avanzar en el entendimiento del tema y sus implicancias teórico-prácticas. Dado que la literatura es escasa para </w:t>
      </w:r>
      <w:r w:rsidR="00303485" w:rsidRPr="00652F48">
        <w:rPr>
          <w:rFonts w:ascii="Times New Roman" w:hAnsi="Times New Roman" w:cs="Times New Roman"/>
          <w:sz w:val="22"/>
          <w:szCs w:val="22"/>
          <w:lang w:val="es-ES"/>
        </w:rPr>
        <w:t>América Latina</w:t>
      </w:r>
      <w:r w:rsidRPr="00652F48">
        <w:rPr>
          <w:rFonts w:ascii="Times New Roman" w:hAnsi="Times New Roman" w:cs="Times New Roman"/>
          <w:sz w:val="22"/>
          <w:szCs w:val="22"/>
          <w:lang w:val="es-ES"/>
        </w:rPr>
        <w:t>, el objetivo de este artículo es establecer los determinantes del endeudamiento de las familias. Para ello se trabaja con un panel desbalanceado de datos, compuesto por 10 países que abarca el período 2001-2021. Los principales resultados muestran como factores determinantes</w:t>
      </w:r>
      <w:r w:rsidR="00534C7D" w:rsidRPr="00652F48">
        <w:rPr>
          <w:rFonts w:ascii="Times New Roman" w:hAnsi="Times New Roman" w:cs="Times New Roman"/>
          <w:sz w:val="22"/>
          <w:szCs w:val="22"/>
          <w:lang w:val="es-ES"/>
        </w:rPr>
        <w:t xml:space="preserve"> y significativos</w:t>
      </w:r>
      <w:r w:rsidRPr="00652F48">
        <w:rPr>
          <w:rFonts w:ascii="Times New Roman" w:hAnsi="Times New Roman" w:cs="Times New Roman"/>
          <w:sz w:val="22"/>
          <w:szCs w:val="22"/>
          <w:lang w:val="es-ES"/>
        </w:rPr>
        <w:t xml:space="preserve"> </w:t>
      </w:r>
      <w:r w:rsidR="00534C7D" w:rsidRPr="00652F48">
        <w:rPr>
          <w:rFonts w:ascii="Times New Roman" w:hAnsi="Times New Roman" w:cs="Times New Roman"/>
          <w:sz w:val="22"/>
          <w:szCs w:val="22"/>
          <w:lang w:val="es-ES"/>
        </w:rPr>
        <w:t xml:space="preserve">a </w:t>
      </w:r>
      <w:r w:rsidRPr="00652F48">
        <w:rPr>
          <w:rFonts w:ascii="Times New Roman" w:hAnsi="Times New Roman" w:cs="Times New Roman"/>
          <w:sz w:val="22"/>
          <w:szCs w:val="22"/>
          <w:lang w:val="es-ES"/>
        </w:rPr>
        <w:t>l</w:t>
      </w:r>
      <w:r w:rsidR="00534C7D" w:rsidRPr="00652F48">
        <w:rPr>
          <w:rFonts w:ascii="Times New Roman" w:hAnsi="Times New Roman" w:cs="Times New Roman"/>
          <w:sz w:val="22"/>
          <w:szCs w:val="22"/>
          <w:lang w:val="es-ES"/>
        </w:rPr>
        <w:t>a</w:t>
      </w:r>
      <w:r w:rsidRPr="00652F48">
        <w:rPr>
          <w:rFonts w:ascii="Times New Roman" w:hAnsi="Times New Roman" w:cs="Times New Roman"/>
          <w:sz w:val="22"/>
          <w:szCs w:val="22"/>
          <w:lang w:val="es-ES"/>
        </w:rPr>
        <w:t xml:space="preserve"> </w:t>
      </w:r>
      <w:r w:rsidR="00534C7D" w:rsidRPr="00652F48">
        <w:rPr>
          <w:rFonts w:ascii="Times New Roman" w:hAnsi="Times New Roman" w:cs="Times New Roman"/>
          <w:sz w:val="22"/>
          <w:szCs w:val="22"/>
          <w:lang w:val="es-ES"/>
        </w:rPr>
        <w:t xml:space="preserve">tasa </w:t>
      </w:r>
      <w:r w:rsidRPr="00652F48">
        <w:rPr>
          <w:rFonts w:ascii="Times New Roman" w:hAnsi="Times New Roman" w:cs="Times New Roman"/>
          <w:sz w:val="22"/>
          <w:szCs w:val="22"/>
          <w:lang w:val="es-ES"/>
        </w:rPr>
        <w:t xml:space="preserve">de ahorro de los hogares, la tasa de </w:t>
      </w:r>
      <w:r w:rsidR="00534C7D" w:rsidRPr="00652F48">
        <w:rPr>
          <w:rFonts w:ascii="Times New Roman" w:hAnsi="Times New Roman" w:cs="Times New Roman"/>
          <w:sz w:val="22"/>
          <w:szCs w:val="22"/>
          <w:lang w:val="es-ES"/>
        </w:rPr>
        <w:t>los préstamos</w:t>
      </w:r>
      <w:r w:rsidRPr="00652F48">
        <w:rPr>
          <w:rFonts w:ascii="Times New Roman" w:hAnsi="Times New Roman" w:cs="Times New Roman"/>
          <w:sz w:val="22"/>
          <w:szCs w:val="22"/>
          <w:lang w:val="es-ES"/>
        </w:rPr>
        <w:t xml:space="preserve">, la esperanza de vida, </w:t>
      </w:r>
      <w:r w:rsidR="00534C7D" w:rsidRPr="00652F48">
        <w:rPr>
          <w:rFonts w:ascii="Times New Roman" w:hAnsi="Times New Roman" w:cs="Times New Roman"/>
          <w:sz w:val="22"/>
          <w:szCs w:val="22"/>
          <w:lang w:val="es-ES"/>
        </w:rPr>
        <w:t>y el nivel de profundidad financiera</w:t>
      </w:r>
      <w:r w:rsidR="004166FA" w:rsidRPr="00652F48">
        <w:rPr>
          <w:rFonts w:ascii="Times New Roman" w:hAnsi="Times New Roman" w:cs="Times New Roman"/>
          <w:sz w:val="22"/>
          <w:szCs w:val="22"/>
          <w:lang w:val="es-ES"/>
        </w:rPr>
        <w:t xml:space="preserve"> de la economía</w:t>
      </w:r>
      <w:r w:rsidRPr="00652F48">
        <w:rPr>
          <w:rFonts w:ascii="Times New Roman" w:hAnsi="Times New Roman" w:cs="Times New Roman"/>
          <w:sz w:val="22"/>
          <w:szCs w:val="22"/>
          <w:lang w:val="es-ES"/>
        </w:rPr>
        <w:t xml:space="preserve">. </w:t>
      </w:r>
    </w:p>
    <w:p w:rsidR="00904756" w:rsidRPr="00652F48" w:rsidRDefault="00904756" w:rsidP="00652F48">
      <w:pPr>
        <w:pStyle w:val="Textoindependiente"/>
        <w:spacing w:after="240" w:line="360" w:lineRule="auto"/>
        <w:jc w:val="both"/>
        <w:rPr>
          <w:rFonts w:ascii="Times New Roman" w:hAnsi="Times New Roman" w:cs="Times New Roman"/>
          <w:sz w:val="22"/>
          <w:szCs w:val="22"/>
          <w:lang w:val="es-ES"/>
        </w:rPr>
      </w:pPr>
    </w:p>
    <w:p w:rsidR="005E49E5" w:rsidRPr="00652F48" w:rsidRDefault="005E49E5" w:rsidP="00652F48">
      <w:pPr>
        <w:pStyle w:val="Textoindependiente"/>
        <w:spacing w:after="240" w:line="360" w:lineRule="auto"/>
        <w:jc w:val="both"/>
        <w:rPr>
          <w:rFonts w:ascii="Times New Roman" w:hAnsi="Times New Roman" w:cs="Times New Roman"/>
          <w:b/>
          <w:sz w:val="22"/>
          <w:szCs w:val="22"/>
        </w:rPr>
      </w:pPr>
      <w:r w:rsidRPr="00652F48">
        <w:rPr>
          <w:rFonts w:ascii="Times New Roman" w:hAnsi="Times New Roman" w:cs="Times New Roman"/>
          <w:b/>
          <w:sz w:val="22"/>
          <w:szCs w:val="22"/>
        </w:rPr>
        <w:t>Abstract</w:t>
      </w: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The negative impact that a rapid increase in household debt can have on future economic growth has been well documented in many studies. This has generated great interest among economists to understand </w:t>
      </w:r>
      <w:proofErr w:type="gramStart"/>
      <w:r w:rsidRPr="00652F48">
        <w:rPr>
          <w:rFonts w:ascii="Times New Roman" w:hAnsi="Times New Roman" w:cs="Times New Roman"/>
          <w:sz w:val="22"/>
          <w:szCs w:val="22"/>
        </w:rPr>
        <w:t>what are the factors that can affect said level of debt, both from a theoretical point of view and from a policy maker's perspective</w:t>
      </w:r>
      <w:proofErr w:type="gramEnd"/>
      <w:r w:rsidRPr="00652F48">
        <w:rPr>
          <w:rFonts w:ascii="Times New Roman" w:hAnsi="Times New Roman" w:cs="Times New Roman"/>
          <w:sz w:val="22"/>
          <w:szCs w:val="22"/>
        </w:rPr>
        <w:t xml:space="preserve">. In general, policy makers will be able to compare the benefits and risks of household debt over various time horizons, while academics will be able to advance their understanding of the subject and its theoretical and practical implications. Because of the literature is scarce for Latin American countries, the objective of this article is to establish the determinants of household indebtedness. For this, we </w:t>
      </w:r>
      <w:r w:rsidRPr="00652F48">
        <w:rPr>
          <w:rFonts w:ascii="Times New Roman" w:hAnsi="Times New Roman" w:cs="Times New Roman"/>
          <w:sz w:val="22"/>
          <w:szCs w:val="22"/>
        </w:rPr>
        <w:lastRenderedPageBreak/>
        <w:t xml:space="preserve">work with an unbalanced panel of 10 countries in the period 2001-2021. </w:t>
      </w:r>
      <w:r w:rsidR="00534C7D" w:rsidRPr="00652F48">
        <w:rPr>
          <w:rFonts w:ascii="Times New Roman" w:hAnsi="Times New Roman" w:cs="Times New Roman"/>
          <w:sz w:val="22"/>
          <w:szCs w:val="22"/>
        </w:rPr>
        <w:t>The main results show as determinant and significant factors to the savings rate, the loan rate, life expectancy, and the level of financial depth</w:t>
      </w:r>
      <w:r w:rsidRPr="00652F48">
        <w:rPr>
          <w:rFonts w:ascii="Times New Roman" w:hAnsi="Times New Roman" w:cs="Times New Roman"/>
          <w:sz w:val="22"/>
          <w:szCs w:val="22"/>
        </w:rPr>
        <w:t>.</w:t>
      </w:r>
    </w:p>
    <w:p w:rsidR="001E3566" w:rsidRDefault="001E3566" w:rsidP="00652F48">
      <w:pPr>
        <w:pStyle w:val="Textoindependiente"/>
        <w:spacing w:line="360" w:lineRule="auto"/>
        <w:jc w:val="both"/>
        <w:rPr>
          <w:rFonts w:ascii="Times New Roman" w:hAnsi="Times New Roman" w:cs="Times New Roman"/>
          <w:sz w:val="22"/>
          <w:szCs w:val="22"/>
        </w:rPr>
      </w:pPr>
    </w:p>
    <w:p w:rsidR="00904756" w:rsidRPr="00652F48" w:rsidRDefault="00904756"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b/>
          <w:sz w:val="22"/>
          <w:szCs w:val="22"/>
          <w:lang w:val="es-ES"/>
        </w:rPr>
      </w:pPr>
      <w:r w:rsidRPr="00652F48">
        <w:rPr>
          <w:rFonts w:ascii="Times New Roman" w:hAnsi="Times New Roman" w:cs="Times New Roman"/>
          <w:b/>
          <w:sz w:val="22"/>
          <w:szCs w:val="22"/>
          <w:lang w:val="es-ES"/>
        </w:rPr>
        <w:t>Palabras clave</w:t>
      </w:r>
    </w:p>
    <w:p w:rsidR="005E49E5" w:rsidRPr="00652F48" w:rsidRDefault="00507800"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Deuda del hogar, América Latina, Datos de Panel, Evidencia empírica, Ahorro</w:t>
      </w:r>
    </w:p>
    <w:p w:rsidR="005E49E5" w:rsidRPr="00652F48" w:rsidRDefault="005E49E5" w:rsidP="00652F48">
      <w:pPr>
        <w:pStyle w:val="Textoindependiente"/>
        <w:spacing w:line="360" w:lineRule="auto"/>
        <w:jc w:val="both"/>
        <w:rPr>
          <w:rFonts w:ascii="Times New Roman" w:hAnsi="Times New Roman" w:cs="Times New Roman"/>
          <w:b/>
          <w:sz w:val="22"/>
          <w:szCs w:val="22"/>
          <w:lang w:val="es-ES"/>
        </w:rPr>
      </w:pPr>
    </w:p>
    <w:p w:rsidR="005E49E5" w:rsidRPr="00652F48" w:rsidRDefault="005E49E5" w:rsidP="00652F48">
      <w:pPr>
        <w:pStyle w:val="Textoindependiente"/>
        <w:spacing w:line="360" w:lineRule="auto"/>
        <w:jc w:val="both"/>
        <w:rPr>
          <w:rFonts w:ascii="Times New Roman" w:hAnsi="Times New Roman" w:cs="Times New Roman"/>
          <w:b/>
          <w:sz w:val="22"/>
          <w:szCs w:val="22"/>
        </w:rPr>
      </w:pPr>
      <w:r w:rsidRPr="00652F48">
        <w:rPr>
          <w:rFonts w:ascii="Times New Roman" w:hAnsi="Times New Roman" w:cs="Times New Roman"/>
          <w:b/>
          <w:sz w:val="22"/>
          <w:szCs w:val="22"/>
        </w:rPr>
        <w:t>Keywords</w:t>
      </w:r>
    </w:p>
    <w:p w:rsidR="005E49E5" w:rsidRPr="00652F48" w:rsidRDefault="00507800"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Household Debt, Latin America, Panel Data, Empirical Evidence, Saving</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1E3566" w:rsidRPr="00652F48" w:rsidRDefault="001E3566"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JEL: D14, E44</w:t>
      </w:r>
    </w:p>
    <w:p w:rsidR="00057D7A" w:rsidRPr="00652F48" w:rsidRDefault="00057D7A" w:rsidP="00652F48">
      <w:pPr>
        <w:pStyle w:val="Textoindependiente"/>
        <w:spacing w:line="360" w:lineRule="auto"/>
        <w:jc w:val="both"/>
        <w:rPr>
          <w:rFonts w:ascii="Times New Roman" w:hAnsi="Times New Roman" w:cs="Times New Roman"/>
          <w:sz w:val="22"/>
          <w:szCs w:val="22"/>
          <w:lang w:val="es-ES"/>
        </w:rPr>
      </w:pPr>
    </w:p>
    <w:p w:rsidR="00733135" w:rsidRDefault="00733135" w:rsidP="00652F48">
      <w:pPr>
        <w:pStyle w:val="Textoindependiente"/>
        <w:spacing w:line="360" w:lineRule="auto"/>
        <w:jc w:val="both"/>
        <w:rPr>
          <w:rFonts w:ascii="Times New Roman" w:hAnsi="Times New Roman" w:cs="Times New Roman"/>
          <w:sz w:val="22"/>
          <w:szCs w:val="22"/>
          <w:lang w:val="es-ES"/>
        </w:rPr>
      </w:pPr>
    </w:p>
    <w:p w:rsidR="00904756" w:rsidRDefault="00904756" w:rsidP="00652F48">
      <w:pPr>
        <w:pStyle w:val="Textoindependiente"/>
        <w:spacing w:line="360" w:lineRule="auto"/>
        <w:jc w:val="both"/>
        <w:rPr>
          <w:rFonts w:ascii="Times New Roman" w:hAnsi="Times New Roman" w:cs="Times New Roman"/>
          <w:sz w:val="22"/>
          <w:szCs w:val="22"/>
          <w:lang w:val="es-ES"/>
        </w:rPr>
      </w:pPr>
    </w:p>
    <w:p w:rsidR="00904756" w:rsidRDefault="00904756" w:rsidP="00652F48">
      <w:pPr>
        <w:pStyle w:val="Textoindependiente"/>
        <w:spacing w:line="360" w:lineRule="auto"/>
        <w:jc w:val="both"/>
        <w:rPr>
          <w:rFonts w:ascii="Times New Roman" w:hAnsi="Times New Roman" w:cs="Times New Roman"/>
          <w:sz w:val="22"/>
          <w:szCs w:val="22"/>
          <w:lang w:val="es-ES"/>
        </w:rPr>
      </w:pPr>
    </w:p>
    <w:p w:rsidR="005E49E5" w:rsidRPr="00652F48" w:rsidRDefault="00EE303F" w:rsidP="00652F48">
      <w:pPr>
        <w:pStyle w:val="Textoindependiente"/>
        <w:spacing w:after="240" w:line="360" w:lineRule="auto"/>
        <w:jc w:val="both"/>
        <w:rPr>
          <w:rFonts w:ascii="Times New Roman" w:hAnsi="Times New Roman" w:cs="Times New Roman"/>
          <w:b/>
          <w:sz w:val="22"/>
          <w:szCs w:val="22"/>
          <w:lang w:val="es-ES"/>
        </w:rPr>
      </w:pPr>
      <w:r>
        <w:rPr>
          <w:rFonts w:ascii="Times New Roman" w:hAnsi="Times New Roman" w:cs="Times New Roman"/>
          <w:b/>
          <w:sz w:val="22"/>
          <w:szCs w:val="22"/>
          <w:lang w:val="es-ES"/>
        </w:rPr>
        <w:t>1.</w:t>
      </w:r>
      <w:r w:rsidR="005E49E5" w:rsidRPr="00652F48">
        <w:rPr>
          <w:rFonts w:ascii="Times New Roman" w:hAnsi="Times New Roman" w:cs="Times New Roman"/>
          <w:b/>
          <w:sz w:val="22"/>
          <w:szCs w:val="22"/>
          <w:lang w:val="es-ES"/>
        </w:rPr>
        <w:t xml:space="preserve"> Introducción </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Luego de la crisis financiera del 2008, el estudio sistemático de la relación entre la deuda y el crecimiento fue recibiendo cada vez mayor interés por parte de los investigadores. En particular, y a partir del influyente artículo de Reinhart y Rogoff (2010), en el que se señalaba un umbral de la deuda del gobierno central a partir del cual se afectaba al crecimiento económico, la literatura empírica se desarrolló raudamente. Dichos estudios, aunque diferían en el valor umbral y advertían sobre la composición de la deuda y la moneda en la que estaba nominada, acordaban en que el efecto de la deuda sobre el crecimiento era de carácter no lineal y negativo, esto es, existe un valor </w:t>
      </w:r>
      <w:r w:rsidR="00373ABC" w:rsidRPr="00652F48">
        <w:rPr>
          <w:rFonts w:ascii="Times New Roman" w:hAnsi="Times New Roman" w:cs="Times New Roman"/>
          <w:sz w:val="22"/>
          <w:szCs w:val="22"/>
          <w:lang w:val="es-ES"/>
        </w:rPr>
        <w:t>umbral (</w:t>
      </w:r>
      <w:r w:rsidR="00373ABC" w:rsidRPr="00652F48">
        <w:rPr>
          <w:rFonts w:ascii="Times New Roman" w:hAnsi="Times New Roman" w:cs="Times New Roman"/>
          <w:i/>
          <w:sz w:val="22"/>
          <w:szCs w:val="22"/>
          <w:lang w:val="es-ES"/>
        </w:rPr>
        <w:t>Threshold</w:t>
      </w:r>
      <w:r w:rsidR="00373ABC" w:rsidRPr="00652F48">
        <w:rPr>
          <w:rFonts w:ascii="Times New Roman" w:hAnsi="Times New Roman" w:cs="Times New Roman"/>
          <w:sz w:val="22"/>
          <w:szCs w:val="22"/>
          <w:lang w:val="es-ES"/>
        </w:rPr>
        <w:t>)</w:t>
      </w:r>
      <w:r w:rsidRPr="00652F48">
        <w:rPr>
          <w:rFonts w:ascii="Times New Roman" w:hAnsi="Times New Roman" w:cs="Times New Roman"/>
          <w:sz w:val="22"/>
          <w:szCs w:val="22"/>
          <w:lang w:val="es-ES"/>
        </w:rPr>
        <w:t xml:space="preserve"> a partir del cual la deuda comienza a tener efectos negativos sobre el crecimiento. </w:t>
      </w:r>
    </w:p>
    <w:p w:rsidR="005E49E5" w:rsidRPr="00652F48" w:rsidRDefault="00373ABC"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w:t>
      </w:r>
      <w:r w:rsidR="005E49E5" w:rsidRPr="00652F48">
        <w:rPr>
          <w:rFonts w:ascii="Times New Roman" w:hAnsi="Times New Roman" w:cs="Times New Roman"/>
          <w:sz w:val="22"/>
          <w:szCs w:val="22"/>
          <w:lang w:val="es-ES"/>
        </w:rPr>
        <w:t xml:space="preserve">sas investigaciones se desarrollaban casi de manera exclusiva en relación a la deuda del gobierno central. </w:t>
      </w:r>
      <w:r w:rsidRPr="00652F48">
        <w:rPr>
          <w:rFonts w:ascii="Times New Roman" w:hAnsi="Times New Roman" w:cs="Times New Roman"/>
          <w:sz w:val="22"/>
          <w:szCs w:val="22"/>
          <w:lang w:val="es-ES"/>
        </w:rPr>
        <w:t>Sin embargo, c</w:t>
      </w:r>
      <w:r w:rsidR="005E49E5" w:rsidRPr="00652F48">
        <w:rPr>
          <w:rFonts w:ascii="Times New Roman" w:hAnsi="Times New Roman" w:cs="Times New Roman"/>
          <w:sz w:val="22"/>
          <w:szCs w:val="22"/>
          <w:lang w:val="es-ES"/>
        </w:rPr>
        <w:t>on el paso del tiempo, aunque dicha línea de investigación se ha mantenido vigente, parte del interés se ha desplazado a la deuda del sector privado en general y de los hogares en particular (</w:t>
      </w:r>
      <w:r w:rsidR="005E49E5" w:rsidRPr="00652F48">
        <w:rPr>
          <w:rFonts w:ascii="Times New Roman" w:hAnsi="Times New Roman" w:cs="Times New Roman"/>
          <w:i/>
          <w:sz w:val="22"/>
          <w:szCs w:val="22"/>
          <w:lang w:val="es-ES"/>
        </w:rPr>
        <w:t>Household Debt</w:t>
      </w:r>
      <w:r w:rsidR="005E49E5" w:rsidRPr="00652F48">
        <w:rPr>
          <w:rFonts w:ascii="Times New Roman" w:hAnsi="Times New Roman" w:cs="Times New Roman"/>
          <w:sz w:val="22"/>
          <w:szCs w:val="22"/>
          <w:lang w:val="es-ES"/>
        </w:rPr>
        <w:t>).</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El acceso al crédito resulta primordial para que la actividad económica pueda desarrollarse con normalidad y en consonancia con las preferencias intertemporales de los agentes. Los préstamos permiten a quienes los solicitan alcanzar sus objetivos de consumo e inversión. Sin embargo, el crédito también se encuentra asociado a ciertos riesgos. El efecto de </w:t>
      </w:r>
      <w:r w:rsidRPr="00652F48">
        <w:rPr>
          <w:rFonts w:ascii="Times New Roman" w:hAnsi="Times New Roman" w:cs="Times New Roman"/>
          <w:sz w:val="22"/>
          <w:szCs w:val="22"/>
          <w:lang w:val="es-ES"/>
        </w:rPr>
        <w:lastRenderedPageBreak/>
        <w:t xml:space="preserve">un aumento en el endeudamiento de los hogares puede variar dependiendo del contexto macroeconómico (Chotewattanakul, </w:t>
      </w:r>
      <w:proofErr w:type="spellStart"/>
      <w:r w:rsidRPr="00652F48">
        <w:rPr>
          <w:rFonts w:ascii="Times New Roman" w:hAnsi="Times New Roman" w:cs="Times New Roman"/>
          <w:sz w:val="22"/>
          <w:szCs w:val="22"/>
          <w:lang w:val="es-ES"/>
        </w:rPr>
        <w:t>Sharpe</w:t>
      </w:r>
      <w:proofErr w:type="spellEnd"/>
      <w:r w:rsidRPr="00652F48">
        <w:rPr>
          <w:rFonts w:ascii="Times New Roman" w:hAnsi="Times New Roman" w:cs="Times New Roman"/>
          <w:sz w:val="22"/>
          <w:szCs w:val="22"/>
          <w:lang w:val="es-ES"/>
        </w:rPr>
        <w:t xml:space="preserve">, y </w:t>
      </w:r>
      <w:proofErr w:type="spellStart"/>
      <w:r w:rsidRPr="00652F48">
        <w:rPr>
          <w:rFonts w:ascii="Times New Roman" w:hAnsi="Times New Roman" w:cs="Times New Roman"/>
          <w:sz w:val="22"/>
          <w:szCs w:val="22"/>
          <w:lang w:val="es-ES"/>
        </w:rPr>
        <w:t>Chand</w:t>
      </w:r>
      <w:proofErr w:type="spellEnd"/>
      <w:r w:rsidRPr="00652F48">
        <w:rPr>
          <w:rFonts w:ascii="Times New Roman" w:hAnsi="Times New Roman" w:cs="Times New Roman"/>
          <w:sz w:val="22"/>
          <w:szCs w:val="22"/>
          <w:lang w:val="es-ES"/>
        </w:rPr>
        <w:t xml:space="preserve">, 2019). Cuando se desarrolla una dependencia excesiva a los mismos pueden ocurrir distorsiones y hacer que tanto los hogares como las empresas sean vulnerables a shocks crediticios adversos (Cafiso, 2022), shocks de tasas de interés y shocks de ingresos (Debelle, 2004; Endut y Hua, 2009). Desde esta perspectiva se podría asumir que coexiste una visión optimista y otra menos optimista (Filardo, 2009). </w:t>
      </w:r>
      <w:r w:rsidR="00373ABC" w:rsidRPr="00652F48">
        <w:rPr>
          <w:rFonts w:ascii="Times New Roman" w:hAnsi="Times New Roman" w:cs="Times New Roman"/>
          <w:sz w:val="22"/>
          <w:szCs w:val="22"/>
          <w:lang w:val="es-ES"/>
        </w:rPr>
        <w:t>Mientras que l</w:t>
      </w:r>
      <w:r w:rsidRPr="00652F48">
        <w:rPr>
          <w:rFonts w:ascii="Times New Roman" w:hAnsi="Times New Roman" w:cs="Times New Roman"/>
          <w:sz w:val="22"/>
          <w:szCs w:val="22"/>
          <w:lang w:val="es-ES"/>
        </w:rPr>
        <w:t xml:space="preserve">a primera refleja una mayor solidez del entorno económico y financiero, la segunda representa mayor vulnerabilidad de los balances de los hogares. </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Los efectos negativos que el endeudamiento de los hogares puede generar sobre el crecimiento económico </w:t>
      </w:r>
      <w:r w:rsidR="00373ABC" w:rsidRPr="00652F48">
        <w:rPr>
          <w:rFonts w:ascii="Times New Roman" w:hAnsi="Times New Roman" w:cs="Times New Roman"/>
          <w:sz w:val="22"/>
          <w:szCs w:val="22"/>
          <w:lang w:val="es-ES"/>
        </w:rPr>
        <w:t>son diversos</w:t>
      </w:r>
      <w:r w:rsidRPr="00652F48">
        <w:rPr>
          <w:rFonts w:ascii="Times New Roman" w:hAnsi="Times New Roman" w:cs="Times New Roman"/>
          <w:sz w:val="22"/>
          <w:szCs w:val="22"/>
          <w:lang w:val="es-ES"/>
        </w:rPr>
        <w:t xml:space="preserve">. El pago de intereses y principal, merman la acumulación y el consumo. En particular, una rápida acumulación de deuda por parte de los hogares está asociada con un menor crecimiento económico futuro (Nyholm y Voutilainen, 2021; Verner y Gyöngyösi, 2020; Alter, Feng, y Valckx, 2018; Mian, </w:t>
      </w:r>
      <w:proofErr w:type="spellStart"/>
      <w:r w:rsidRPr="00652F48">
        <w:rPr>
          <w:rFonts w:ascii="Times New Roman" w:hAnsi="Times New Roman" w:cs="Times New Roman"/>
          <w:sz w:val="22"/>
          <w:szCs w:val="22"/>
          <w:lang w:val="es-ES"/>
        </w:rPr>
        <w:t>Sufi</w:t>
      </w:r>
      <w:proofErr w:type="spellEnd"/>
      <w:r w:rsidRPr="00652F48">
        <w:rPr>
          <w:rFonts w:ascii="Times New Roman" w:hAnsi="Times New Roman" w:cs="Times New Roman"/>
          <w:sz w:val="22"/>
          <w:szCs w:val="22"/>
          <w:lang w:val="es-ES"/>
        </w:rPr>
        <w:t xml:space="preserve">, Verner 2017), un debilitamiento del consumo (Lombardi, </w:t>
      </w:r>
      <w:proofErr w:type="spellStart"/>
      <w:r w:rsidRPr="00652F48">
        <w:rPr>
          <w:rFonts w:ascii="Times New Roman" w:hAnsi="Times New Roman" w:cs="Times New Roman"/>
          <w:sz w:val="22"/>
          <w:szCs w:val="22"/>
          <w:lang w:val="es-ES"/>
        </w:rPr>
        <w:t>Mohanty</w:t>
      </w:r>
      <w:proofErr w:type="spellEnd"/>
      <w:r w:rsidRPr="00652F48">
        <w:rPr>
          <w:rFonts w:ascii="Times New Roman" w:hAnsi="Times New Roman" w:cs="Times New Roman"/>
          <w:sz w:val="22"/>
          <w:szCs w:val="22"/>
          <w:lang w:val="es-ES"/>
        </w:rPr>
        <w:t xml:space="preserve">,  y </w:t>
      </w:r>
      <w:proofErr w:type="spellStart"/>
      <w:r w:rsidRPr="00652F48">
        <w:rPr>
          <w:rFonts w:ascii="Times New Roman" w:hAnsi="Times New Roman" w:cs="Times New Roman"/>
          <w:sz w:val="22"/>
          <w:szCs w:val="22"/>
          <w:lang w:val="es-ES"/>
        </w:rPr>
        <w:t>Shim</w:t>
      </w:r>
      <w:proofErr w:type="spellEnd"/>
      <w:r w:rsidRPr="00652F48">
        <w:rPr>
          <w:rFonts w:ascii="Times New Roman" w:hAnsi="Times New Roman" w:cs="Times New Roman"/>
          <w:i/>
          <w:sz w:val="22"/>
          <w:szCs w:val="22"/>
          <w:lang w:val="es-ES"/>
        </w:rPr>
        <w:t>.</w:t>
      </w:r>
      <w:r w:rsidRPr="00652F48">
        <w:rPr>
          <w:rFonts w:ascii="Times New Roman" w:hAnsi="Times New Roman" w:cs="Times New Roman"/>
          <w:sz w:val="22"/>
          <w:szCs w:val="22"/>
          <w:lang w:val="es-ES"/>
        </w:rPr>
        <w:t xml:space="preserve">, 2017, Kin y Hwang, 2016) y una alta probabilidad de futuras crisis bancarias (Jordà, </w:t>
      </w:r>
      <w:proofErr w:type="spellStart"/>
      <w:r w:rsidRPr="00652F48">
        <w:rPr>
          <w:rFonts w:ascii="Times New Roman" w:hAnsi="Times New Roman" w:cs="Times New Roman"/>
          <w:sz w:val="22"/>
          <w:szCs w:val="22"/>
          <w:lang w:val="es-ES"/>
        </w:rPr>
        <w:t>Schularick</w:t>
      </w:r>
      <w:proofErr w:type="spellEnd"/>
      <w:r w:rsidRPr="00652F48">
        <w:rPr>
          <w:rFonts w:ascii="Times New Roman" w:hAnsi="Times New Roman" w:cs="Times New Roman"/>
          <w:sz w:val="22"/>
          <w:szCs w:val="22"/>
          <w:lang w:val="es-ES"/>
        </w:rPr>
        <w:t xml:space="preserve">, y Taylor, 2016).  </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En ese contexto, reviste gran interés comprender cuáles son los principales determinantes del endeudamiento de las familias, tanto desde el punto de vista teórico como así también desde la perspectiva del </w:t>
      </w:r>
      <w:r w:rsidRPr="00652F48">
        <w:rPr>
          <w:rFonts w:ascii="Times New Roman" w:hAnsi="Times New Roman" w:cs="Times New Roman"/>
          <w:i/>
          <w:sz w:val="22"/>
          <w:szCs w:val="22"/>
          <w:lang w:val="es-ES"/>
        </w:rPr>
        <w:t>policy maker</w:t>
      </w:r>
      <w:r w:rsidRPr="00652F48">
        <w:rPr>
          <w:rFonts w:ascii="Times New Roman" w:hAnsi="Times New Roman" w:cs="Times New Roman"/>
          <w:sz w:val="22"/>
          <w:szCs w:val="22"/>
          <w:lang w:val="es-ES"/>
        </w:rPr>
        <w:t xml:space="preserve">. En general, los académicos podrán avanzar en el entendimiento del tema y sus implicancias teórico-prácticas. Moore y Stockhammer (2018, p. 549) señalan que “la falta de un estudio empírico completo sobre los impulsores de la deuda es una preocupación dado que la exclusión de variables relevantes da como resultado una comprensión parcial de los impulsores macroeconómicos del endeudamiento de los hogares”. Asimismo, los autores agregan la presencia de inconvenientes econométricos que pueden presentarse (sesgo de variable omitida) como así también la conveniencia de realizar una evaluación empírica de las causas del endeudamiento de los hogares para diseñar políticas que mantengan la estabilidad financiera y macroeconómica a través del sector de los hogares al mantener bajo control los balances de dicho sector. Por otra parte, los hacedores de políticas podrán comparar los beneficios y riesgos de la deuda de los hogares a lo largo de varios horizontes de tiempo como así también incorporar el endeudamiento de los hogares en la construcción de indicadores económicos adelantados (Kwon y Park, 2023). </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Existen trabajos que abordan el caso de los países desarrollados, y en menor medida algunos que abarcan a países emergentes, pero los estudios que se ocupan de los determinantes del endeudamiento de los hogares en los países de América Latina son muy escasos. Por este motivo, el objetivo de este trabajo es analizar y cuantificar el efecto de los determinantes del endeudamiento de los hogares, a partir de la metodología de datos de panel, y para un conjunto de países latinoamericanos (Argentina, Brasil, Chile, Colombia, Costa Rica, El Salvador, Honduras, México, Nicaragua y Perú) en el período 2001-2021.</w:t>
      </w:r>
    </w:p>
    <w:p w:rsidR="005E49E5" w:rsidRPr="00652F48" w:rsidRDefault="005E49E5" w:rsidP="00652F48">
      <w:pPr>
        <w:pStyle w:val="Textoindependiente"/>
        <w:spacing w:after="240" w:line="360" w:lineRule="auto"/>
        <w:ind w:firstLine="357"/>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lastRenderedPageBreak/>
        <w:t>El artículo se organiza como sigue. En la segunda sección se presenta la revisión bibliográfica. La tercera sección aborda los datos y la metodología. La cuarta sección muestra los resultados obtenidos. Finalmente, la quinta sección incorpora las consideraciones finales y posibles formas de continuar este trabajo.</w:t>
      </w:r>
    </w:p>
    <w:p w:rsidR="005E49E5" w:rsidRPr="00652F48" w:rsidRDefault="005E49E5" w:rsidP="00652F48">
      <w:pPr>
        <w:pStyle w:val="Textoindependiente"/>
        <w:spacing w:after="240" w:line="360" w:lineRule="auto"/>
        <w:jc w:val="both"/>
        <w:rPr>
          <w:rFonts w:ascii="Times New Roman" w:hAnsi="Times New Roman" w:cs="Times New Roman"/>
          <w:sz w:val="22"/>
          <w:szCs w:val="22"/>
          <w:lang w:val="es-ES"/>
        </w:rPr>
      </w:pPr>
      <w:r w:rsidRPr="00652F48">
        <w:rPr>
          <w:rFonts w:ascii="Times New Roman" w:hAnsi="Times New Roman" w:cs="Times New Roman"/>
          <w:b/>
          <w:sz w:val="22"/>
          <w:szCs w:val="22"/>
          <w:lang w:val="es-ES"/>
        </w:rPr>
        <w:t>2. Revisión bibliográfica</w:t>
      </w:r>
    </w:p>
    <w:p w:rsidR="004F4211"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En cuanto a los determinantes de la deuda de los hogares es posible agrupar a los diferentes estudios que se ocupan de ellos en dos grandes áreas principales: trabajos que enfatizan y analizan el lado de la demanda, y por otro lado aquellos artículos que abordan el rol de la oferta y las fuerzas institucionales (Coletta</w:t>
      </w:r>
      <w:r w:rsidR="004F4211" w:rsidRPr="00652F48">
        <w:rPr>
          <w:rFonts w:ascii="Times New Roman" w:hAnsi="Times New Roman" w:cs="Times New Roman"/>
          <w:sz w:val="22"/>
          <w:szCs w:val="22"/>
          <w:lang w:val="es-ES"/>
        </w:rPr>
        <w:t>,</w:t>
      </w:r>
      <w:r w:rsidRPr="00652F48">
        <w:rPr>
          <w:rFonts w:ascii="Times New Roman" w:hAnsi="Times New Roman" w:cs="Times New Roman"/>
          <w:sz w:val="22"/>
          <w:szCs w:val="22"/>
          <w:lang w:val="es-ES"/>
        </w:rPr>
        <w:t xml:space="preserve"> De </w:t>
      </w:r>
      <w:proofErr w:type="spellStart"/>
      <w:r w:rsidRPr="00652F48">
        <w:rPr>
          <w:rFonts w:ascii="Times New Roman" w:hAnsi="Times New Roman" w:cs="Times New Roman"/>
          <w:sz w:val="22"/>
          <w:szCs w:val="22"/>
          <w:lang w:val="es-ES"/>
        </w:rPr>
        <w:t>Bonis</w:t>
      </w:r>
      <w:proofErr w:type="spellEnd"/>
      <w:r w:rsidRPr="00652F48">
        <w:rPr>
          <w:rFonts w:ascii="Times New Roman" w:hAnsi="Times New Roman" w:cs="Times New Roman"/>
          <w:sz w:val="22"/>
          <w:szCs w:val="22"/>
          <w:lang w:val="es-ES"/>
        </w:rPr>
        <w:t xml:space="preserve">, y </w:t>
      </w:r>
      <w:proofErr w:type="spellStart"/>
      <w:r w:rsidRPr="00652F48">
        <w:rPr>
          <w:rFonts w:ascii="Times New Roman" w:hAnsi="Times New Roman" w:cs="Times New Roman"/>
          <w:sz w:val="22"/>
          <w:szCs w:val="22"/>
          <w:lang w:val="es-ES"/>
        </w:rPr>
        <w:t>Piermattei</w:t>
      </w:r>
      <w:proofErr w:type="spellEnd"/>
      <w:r w:rsidRPr="00652F48">
        <w:rPr>
          <w:rFonts w:ascii="Times New Roman" w:hAnsi="Times New Roman" w:cs="Times New Roman"/>
          <w:sz w:val="22"/>
          <w:szCs w:val="22"/>
          <w:lang w:val="es-ES"/>
        </w:rPr>
        <w:t>, 2019). Otra forma de agrupar las explicaciones ha sido considerar las explicaciones que involucran transacciones de activos, aquellas orientadas al consumo y las que se encuentran relacionadas con la política monetaria y la oferta de crédito (Moore y Stockhammer, 2018).</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ab/>
        <w:t xml:space="preserve">La teoría del ciclo vital desarrollada por Ando y Modigliani (1963), y profundizada luego por otros autores, destaca el hecho de que los agentes económicos intentan conseguir una trayectoria de consumo lo más suave posible a lo largo del tiempo, dado que de esa manera consiguen una mayor utilidad. Para lograrlo, el modelo supone que los agentes pueden endeudarse en ciertos períodos de sus vidas y que, en general, no existen restricciones crediticias. Considerar este enfoque constituye un primer punto de partida relevante ya que permite visualizar algunos factores emergentes que pueden determinar la deuda de los agentes. </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El primero, y tal vez es más evidente, es el nivel de ahorro. Utilizando una muestra de economías de mercados emergentes y avanzadas, Bouis (2021) aporta evidencia de una relación negativa entre los cambios del ratio deuda-ingresos y la tasa de ahorro. A pesar de ello, el autor indica que dicha relación es asimétrica y sólo significativa para aumentos de deuda. A su vez, el ahorro, junto con otros factores como la evolución de la renta disponible, el sistema financiero, las condiciones del mercado, las regulaciones relacionadas con las pensiones y los impuestos condicionan la creación y la estructura de la riqueza financiera de los hogares (Andreasch, 2017). En esa dirección, Cooper y </w:t>
      </w:r>
      <w:proofErr w:type="spellStart"/>
      <w:r w:rsidRPr="00652F48">
        <w:rPr>
          <w:rFonts w:ascii="Times New Roman" w:hAnsi="Times New Roman" w:cs="Times New Roman"/>
          <w:sz w:val="22"/>
          <w:szCs w:val="22"/>
          <w:lang w:val="es-ES"/>
        </w:rPr>
        <w:t>Dynan</w:t>
      </w:r>
      <w:proofErr w:type="spellEnd"/>
      <w:r w:rsidRPr="00652F48">
        <w:rPr>
          <w:rFonts w:ascii="Times New Roman" w:hAnsi="Times New Roman" w:cs="Times New Roman"/>
          <w:sz w:val="22"/>
          <w:szCs w:val="22"/>
          <w:lang w:val="es-ES"/>
        </w:rPr>
        <w:t xml:space="preserve"> (2016, p.47) sostienen que “el patrimonio neto de un hogar también es una función de la deuda que sostiene”. Sin embargo, tal como advierten Coletta, </w:t>
      </w:r>
      <w:r w:rsidRPr="00652F48">
        <w:rPr>
          <w:rFonts w:ascii="Times New Roman" w:hAnsi="Times New Roman" w:cs="Times New Roman"/>
          <w:i/>
          <w:sz w:val="22"/>
          <w:szCs w:val="22"/>
          <w:lang w:val="es-ES"/>
        </w:rPr>
        <w:t xml:space="preserve">et al. </w:t>
      </w:r>
      <w:r w:rsidRPr="00652F48">
        <w:rPr>
          <w:rFonts w:ascii="Times New Roman" w:hAnsi="Times New Roman" w:cs="Times New Roman"/>
          <w:sz w:val="22"/>
          <w:szCs w:val="22"/>
          <w:lang w:val="es-ES"/>
        </w:rPr>
        <w:t xml:space="preserve">(2019), existe la posibilidad de causalidad inversa y endogeneidad entre el ahorro y la deuda de los hogares, lo que los autores ejemplifican claramente con lo ocurrido luego de la crisis financiera de 2007-2008, cuando se verificó que el ahorro repuntó en algunos países como Estados Unidos y España, donde los hogares se encontraban fuertemente endeudados. </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La deuda de los hogares puede ser tan importante como el grado de liquidez de la riqueza con las que las familias cuentan, cuando se trata de comprender las respuestas de consumo heterogéneas en los hogares. En este sentido, </w:t>
      </w:r>
      <w:proofErr w:type="spellStart"/>
      <w:r w:rsidRPr="00652F48">
        <w:rPr>
          <w:rFonts w:ascii="Times New Roman" w:hAnsi="Times New Roman" w:cs="Times New Roman"/>
          <w:sz w:val="22"/>
          <w:szCs w:val="22"/>
          <w:lang w:val="es-ES"/>
        </w:rPr>
        <w:t>Cho</w:t>
      </w:r>
      <w:proofErr w:type="spellEnd"/>
      <w:r w:rsidRPr="00652F48">
        <w:rPr>
          <w:rFonts w:ascii="Times New Roman" w:hAnsi="Times New Roman" w:cs="Times New Roman"/>
          <w:sz w:val="22"/>
          <w:szCs w:val="22"/>
          <w:lang w:val="es-ES"/>
        </w:rPr>
        <w:t xml:space="preserve"> y </w:t>
      </w:r>
      <w:proofErr w:type="spellStart"/>
      <w:r w:rsidRPr="00652F48">
        <w:rPr>
          <w:rFonts w:ascii="Times New Roman" w:hAnsi="Times New Roman" w:cs="Times New Roman"/>
          <w:sz w:val="22"/>
          <w:szCs w:val="22"/>
          <w:lang w:val="es-ES"/>
        </w:rPr>
        <w:t>Morley</w:t>
      </w:r>
      <w:proofErr w:type="spellEnd"/>
      <w:r w:rsidRPr="00652F48">
        <w:rPr>
          <w:rFonts w:ascii="Times New Roman" w:hAnsi="Times New Roman" w:cs="Times New Roman"/>
          <w:sz w:val="22"/>
          <w:szCs w:val="22"/>
          <w:lang w:val="es-ES"/>
        </w:rPr>
        <w:t xml:space="preserve"> (2019) destacan el papel </w:t>
      </w:r>
      <w:r w:rsidRPr="00652F48">
        <w:rPr>
          <w:rFonts w:ascii="Times New Roman" w:hAnsi="Times New Roman" w:cs="Times New Roman"/>
          <w:sz w:val="22"/>
          <w:szCs w:val="22"/>
          <w:lang w:val="es-ES"/>
        </w:rPr>
        <w:lastRenderedPageBreak/>
        <w:t xml:space="preserve">de la riqueza ilíquida y la deuda alta en el aumento de la sensibilidad del consumo a los shocks de ingresos transitorios, algo que ya había sido sugerido por Mishkin, Gordon y </w:t>
      </w:r>
      <w:proofErr w:type="spellStart"/>
      <w:r w:rsidRPr="00652F48">
        <w:rPr>
          <w:rFonts w:ascii="Times New Roman" w:hAnsi="Times New Roman" w:cs="Times New Roman"/>
          <w:sz w:val="22"/>
          <w:szCs w:val="22"/>
          <w:lang w:val="es-ES"/>
        </w:rPr>
        <w:t>Hymans</w:t>
      </w:r>
      <w:proofErr w:type="spellEnd"/>
      <w:r w:rsidRPr="00652F48">
        <w:rPr>
          <w:rFonts w:ascii="Times New Roman" w:hAnsi="Times New Roman" w:cs="Times New Roman"/>
          <w:sz w:val="22"/>
          <w:szCs w:val="22"/>
          <w:lang w:val="es-ES"/>
        </w:rPr>
        <w:t xml:space="preserve"> (1977).</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Por otra parte, también se han apuntado factores demográficos como determinantes clave. En ese sentido, Barnes y Young (2003) remarcan el efecto de las poblaciones jóvenes. Es  probable que cuanto mayor sea la proporción de la población joven de una economía, mayor sea el endeudamiento. En relación a la esperanza de vida, otro aspecto demográfico importante para comprender el endeudamiento de los hogares, </w:t>
      </w:r>
      <w:bookmarkStart w:id="0" w:name="_GoBack"/>
      <w:r w:rsidRPr="00652F48">
        <w:rPr>
          <w:rFonts w:ascii="Times New Roman" w:hAnsi="Times New Roman" w:cs="Times New Roman"/>
          <w:sz w:val="22"/>
          <w:szCs w:val="22"/>
          <w:lang w:val="es-ES"/>
        </w:rPr>
        <w:t>Davies</w:t>
      </w:r>
      <w:bookmarkEnd w:id="0"/>
      <w:r w:rsidRPr="00652F48">
        <w:rPr>
          <w:rFonts w:ascii="Times New Roman" w:hAnsi="Times New Roman" w:cs="Times New Roman"/>
          <w:sz w:val="22"/>
          <w:szCs w:val="22"/>
          <w:lang w:val="es-ES"/>
        </w:rPr>
        <w:t xml:space="preserve">, </w:t>
      </w:r>
      <w:proofErr w:type="spellStart"/>
      <w:r w:rsidRPr="00652F48">
        <w:rPr>
          <w:rFonts w:ascii="Times New Roman" w:hAnsi="Times New Roman" w:cs="Times New Roman"/>
          <w:sz w:val="22"/>
          <w:szCs w:val="22"/>
          <w:lang w:val="es-ES"/>
        </w:rPr>
        <w:t>Sandström</w:t>
      </w:r>
      <w:proofErr w:type="spellEnd"/>
      <w:r w:rsidRPr="00652F48">
        <w:rPr>
          <w:rFonts w:ascii="Times New Roman" w:hAnsi="Times New Roman" w:cs="Times New Roman"/>
          <w:sz w:val="22"/>
          <w:szCs w:val="22"/>
          <w:lang w:val="es-ES"/>
        </w:rPr>
        <w:t xml:space="preserve">, </w:t>
      </w:r>
      <w:proofErr w:type="spellStart"/>
      <w:r w:rsidRPr="00652F48">
        <w:rPr>
          <w:rFonts w:ascii="Times New Roman" w:hAnsi="Times New Roman" w:cs="Times New Roman"/>
          <w:sz w:val="22"/>
          <w:szCs w:val="22"/>
          <w:lang w:val="es-ES"/>
        </w:rPr>
        <w:t>Shorrocks</w:t>
      </w:r>
      <w:proofErr w:type="spellEnd"/>
      <w:r w:rsidRPr="00652F48">
        <w:rPr>
          <w:rFonts w:ascii="Times New Roman" w:hAnsi="Times New Roman" w:cs="Times New Roman"/>
          <w:sz w:val="22"/>
          <w:szCs w:val="22"/>
          <w:lang w:val="es-ES"/>
        </w:rPr>
        <w:t xml:space="preserve">, y </w:t>
      </w:r>
      <w:proofErr w:type="spellStart"/>
      <w:r w:rsidRPr="00652F48">
        <w:rPr>
          <w:rFonts w:ascii="Times New Roman" w:hAnsi="Times New Roman" w:cs="Times New Roman"/>
          <w:sz w:val="22"/>
          <w:szCs w:val="22"/>
          <w:lang w:val="es-ES"/>
        </w:rPr>
        <w:t>Wolff</w:t>
      </w:r>
      <w:proofErr w:type="spellEnd"/>
      <w:r w:rsidRPr="00652F48">
        <w:rPr>
          <w:rFonts w:ascii="Times New Roman" w:hAnsi="Times New Roman" w:cs="Times New Roman"/>
          <w:sz w:val="22"/>
          <w:szCs w:val="22"/>
          <w:lang w:val="es-ES"/>
        </w:rPr>
        <w:t xml:space="preserve"> (2010) señalan que el efecto es ambiguo. Por un lado, y en consonancia con lo apuntado anteriormente, una mayor proporción de población envejecida implica en general menores niveles de endeudamiento. No obstante, y reversando el argumento, si la esperanza de vida se extiende lo suficiente como para que los bancos tengan mayor predisposición a prestar, se podría esperar un aumento del endeudamiento de los hogares producto de una mayor expectativa de vida. </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En relación al ciclo económico, usualmente el crédito fluctúa a lo largo del mismo, dado que los  agentes económicos pueden perder (conseguir) un puesto de trabajo durante recesiones (expansiones). Por este motivo, es habitual considerar a la variable tasa de desempleo como una variable de control del ciclo sobre la deuda de los hogares cuando se estudian los determinantes del endeudamiento (Coletta </w:t>
      </w:r>
      <w:r w:rsidRPr="00652F48">
        <w:rPr>
          <w:rFonts w:ascii="Times New Roman" w:hAnsi="Times New Roman" w:cs="Times New Roman"/>
          <w:i/>
          <w:sz w:val="22"/>
          <w:szCs w:val="22"/>
          <w:lang w:val="es-ES"/>
        </w:rPr>
        <w:t>et al</w:t>
      </w:r>
      <w:r w:rsidRPr="00652F48">
        <w:rPr>
          <w:rFonts w:ascii="Times New Roman" w:hAnsi="Times New Roman" w:cs="Times New Roman"/>
          <w:sz w:val="22"/>
          <w:szCs w:val="22"/>
          <w:lang w:val="es-ES"/>
        </w:rPr>
        <w:t>., 201</w:t>
      </w:r>
      <w:r w:rsidR="007D5706" w:rsidRPr="00652F48">
        <w:rPr>
          <w:rFonts w:ascii="Times New Roman" w:hAnsi="Times New Roman" w:cs="Times New Roman"/>
          <w:sz w:val="22"/>
          <w:szCs w:val="22"/>
          <w:lang w:val="es-ES"/>
        </w:rPr>
        <w:t>9</w:t>
      </w:r>
      <w:r w:rsidRPr="00652F48">
        <w:rPr>
          <w:rFonts w:ascii="Times New Roman" w:hAnsi="Times New Roman" w:cs="Times New Roman"/>
          <w:sz w:val="22"/>
          <w:szCs w:val="22"/>
          <w:lang w:val="es-ES"/>
        </w:rPr>
        <w:t xml:space="preserve">). A pesar de ello, algunos estudios incluyen al desempleo como determinante directo. Samad, </w:t>
      </w:r>
      <w:proofErr w:type="spellStart"/>
      <w:r w:rsidRPr="00652F48">
        <w:rPr>
          <w:rFonts w:ascii="Times New Roman" w:hAnsi="Times New Roman" w:cs="Times New Roman"/>
          <w:sz w:val="22"/>
          <w:szCs w:val="22"/>
          <w:lang w:val="es-ES"/>
        </w:rPr>
        <w:t>Mohd</w:t>
      </w:r>
      <w:proofErr w:type="spellEnd"/>
      <w:r w:rsidRPr="00652F48">
        <w:rPr>
          <w:rFonts w:ascii="Times New Roman" w:hAnsi="Times New Roman" w:cs="Times New Roman"/>
          <w:sz w:val="22"/>
          <w:szCs w:val="22"/>
          <w:lang w:val="es-ES"/>
        </w:rPr>
        <w:t xml:space="preserve"> </w:t>
      </w:r>
      <w:proofErr w:type="spellStart"/>
      <w:r w:rsidRPr="00652F48">
        <w:rPr>
          <w:rFonts w:ascii="Times New Roman" w:hAnsi="Times New Roman" w:cs="Times New Roman"/>
          <w:sz w:val="22"/>
          <w:szCs w:val="22"/>
          <w:lang w:val="es-ES"/>
        </w:rPr>
        <w:t>Daud</w:t>
      </w:r>
      <w:proofErr w:type="spellEnd"/>
      <w:r w:rsidRPr="00652F48">
        <w:rPr>
          <w:rFonts w:ascii="Times New Roman" w:hAnsi="Times New Roman" w:cs="Times New Roman"/>
          <w:sz w:val="22"/>
          <w:szCs w:val="22"/>
          <w:lang w:val="es-ES"/>
        </w:rPr>
        <w:t xml:space="preserve"> y </w:t>
      </w:r>
      <w:proofErr w:type="spellStart"/>
      <w:r w:rsidRPr="00652F48">
        <w:rPr>
          <w:rFonts w:ascii="Times New Roman" w:hAnsi="Times New Roman" w:cs="Times New Roman"/>
          <w:sz w:val="22"/>
          <w:szCs w:val="22"/>
          <w:lang w:val="es-ES"/>
        </w:rPr>
        <w:t>Mohd</w:t>
      </w:r>
      <w:proofErr w:type="spellEnd"/>
      <w:r w:rsidRPr="00652F48">
        <w:rPr>
          <w:rFonts w:ascii="Times New Roman" w:hAnsi="Times New Roman" w:cs="Times New Roman"/>
          <w:sz w:val="22"/>
          <w:szCs w:val="22"/>
          <w:lang w:val="es-ES"/>
        </w:rPr>
        <w:t xml:space="preserve"> </w:t>
      </w:r>
      <w:proofErr w:type="spellStart"/>
      <w:r w:rsidRPr="00652F48">
        <w:rPr>
          <w:rFonts w:ascii="Times New Roman" w:hAnsi="Times New Roman" w:cs="Times New Roman"/>
          <w:sz w:val="22"/>
          <w:szCs w:val="22"/>
          <w:lang w:val="es-ES"/>
        </w:rPr>
        <w:t>Dali</w:t>
      </w:r>
      <w:proofErr w:type="spellEnd"/>
      <w:r w:rsidRPr="00652F48">
        <w:rPr>
          <w:rFonts w:ascii="Times New Roman" w:hAnsi="Times New Roman" w:cs="Times New Roman"/>
          <w:sz w:val="22"/>
          <w:szCs w:val="22"/>
          <w:lang w:val="es-ES"/>
        </w:rPr>
        <w:t xml:space="preserve"> (2020) estudian los determinantes del endeudamiento de los hogares para un grupo de países emergentes</w:t>
      </w:r>
      <w:r w:rsidR="005F0F90" w:rsidRPr="00652F48">
        <w:rPr>
          <w:rFonts w:ascii="Times New Roman" w:hAnsi="Times New Roman" w:cs="Times New Roman"/>
          <w:sz w:val="22"/>
          <w:szCs w:val="22"/>
          <w:lang w:val="es-ES"/>
        </w:rPr>
        <w:t xml:space="preserve"> (Bras</w:t>
      </w:r>
      <w:r w:rsidR="008F5469" w:rsidRPr="00652F48">
        <w:rPr>
          <w:rFonts w:ascii="Times New Roman" w:hAnsi="Times New Roman" w:cs="Times New Roman"/>
          <w:sz w:val="22"/>
          <w:szCs w:val="22"/>
          <w:lang w:val="es-ES"/>
        </w:rPr>
        <w:t xml:space="preserve">il, Chile, China, Colombia, </w:t>
      </w:r>
      <w:r w:rsidR="005F0F90" w:rsidRPr="00652F48">
        <w:rPr>
          <w:rFonts w:ascii="Times New Roman" w:hAnsi="Times New Roman" w:cs="Times New Roman"/>
          <w:sz w:val="22"/>
          <w:szCs w:val="22"/>
          <w:lang w:val="es-ES"/>
        </w:rPr>
        <w:t>Hong Kong, Hung</w:t>
      </w:r>
      <w:r w:rsidR="008F5469" w:rsidRPr="00652F48">
        <w:rPr>
          <w:rFonts w:ascii="Times New Roman" w:hAnsi="Times New Roman" w:cs="Times New Roman"/>
          <w:sz w:val="22"/>
          <w:szCs w:val="22"/>
          <w:lang w:val="es-ES"/>
        </w:rPr>
        <w:t>ría</w:t>
      </w:r>
      <w:r w:rsidR="005F0F90" w:rsidRPr="00652F48">
        <w:rPr>
          <w:rFonts w:ascii="Times New Roman" w:hAnsi="Times New Roman" w:cs="Times New Roman"/>
          <w:sz w:val="22"/>
          <w:szCs w:val="22"/>
          <w:lang w:val="es-ES"/>
        </w:rPr>
        <w:t xml:space="preserve">, Indonesia, India, Malaysia, </w:t>
      </w:r>
      <w:r w:rsidR="008F5469" w:rsidRPr="00652F48">
        <w:rPr>
          <w:rFonts w:ascii="Times New Roman" w:hAnsi="Times New Roman" w:cs="Times New Roman"/>
          <w:sz w:val="22"/>
          <w:szCs w:val="22"/>
          <w:lang w:val="es-ES"/>
        </w:rPr>
        <w:t>México</w:t>
      </w:r>
      <w:r w:rsidR="005F0F90" w:rsidRPr="00652F48">
        <w:rPr>
          <w:rFonts w:ascii="Times New Roman" w:hAnsi="Times New Roman" w:cs="Times New Roman"/>
          <w:sz w:val="22"/>
          <w:szCs w:val="22"/>
          <w:lang w:val="es-ES"/>
        </w:rPr>
        <w:t>, Pol</w:t>
      </w:r>
      <w:r w:rsidR="008F5469" w:rsidRPr="00652F48">
        <w:rPr>
          <w:rFonts w:ascii="Times New Roman" w:hAnsi="Times New Roman" w:cs="Times New Roman"/>
          <w:sz w:val="22"/>
          <w:szCs w:val="22"/>
          <w:lang w:val="es-ES"/>
        </w:rPr>
        <w:t>onia</w:t>
      </w:r>
      <w:r w:rsidR="005F0F90" w:rsidRPr="00652F48">
        <w:rPr>
          <w:rFonts w:ascii="Times New Roman" w:hAnsi="Times New Roman" w:cs="Times New Roman"/>
          <w:sz w:val="22"/>
          <w:szCs w:val="22"/>
          <w:lang w:val="es-ES"/>
        </w:rPr>
        <w:t>,</w:t>
      </w:r>
      <w:r w:rsidR="008F5469" w:rsidRPr="00652F48">
        <w:rPr>
          <w:rFonts w:ascii="Times New Roman" w:hAnsi="Times New Roman" w:cs="Times New Roman"/>
          <w:sz w:val="22"/>
          <w:szCs w:val="22"/>
          <w:lang w:val="es-ES"/>
        </w:rPr>
        <w:t xml:space="preserve"> República Checa,</w:t>
      </w:r>
      <w:r w:rsidR="005F0F90" w:rsidRPr="00652F48">
        <w:rPr>
          <w:rFonts w:ascii="Times New Roman" w:hAnsi="Times New Roman" w:cs="Times New Roman"/>
          <w:sz w:val="22"/>
          <w:szCs w:val="22"/>
          <w:lang w:val="es-ES"/>
        </w:rPr>
        <w:t xml:space="preserve"> </w:t>
      </w:r>
      <w:r w:rsidR="008F5469" w:rsidRPr="00652F48">
        <w:rPr>
          <w:rFonts w:ascii="Times New Roman" w:hAnsi="Times New Roman" w:cs="Times New Roman"/>
          <w:sz w:val="22"/>
          <w:szCs w:val="22"/>
          <w:lang w:val="es-ES"/>
        </w:rPr>
        <w:t>Rusia</w:t>
      </w:r>
      <w:r w:rsidR="005F0F90" w:rsidRPr="00652F48">
        <w:rPr>
          <w:rFonts w:ascii="Times New Roman" w:hAnsi="Times New Roman" w:cs="Times New Roman"/>
          <w:sz w:val="22"/>
          <w:szCs w:val="22"/>
          <w:lang w:val="es-ES"/>
        </w:rPr>
        <w:t xml:space="preserve">, </w:t>
      </w:r>
      <w:r w:rsidR="008F5469" w:rsidRPr="00652F48">
        <w:rPr>
          <w:rFonts w:ascii="Times New Roman" w:hAnsi="Times New Roman" w:cs="Times New Roman"/>
          <w:sz w:val="22"/>
          <w:szCs w:val="22"/>
          <w:lang w:val="es-ES"/>
        </w:rPr>
        <w:t>Singapur</w:t>
      </w:r>
      <w:r w:rsidR="005F0F90" w:rsidRPr="00652F48">
        <w:rPr>
          <w:rFonts w:ascii="Times New Roman" w:hAnsi="Times New Roman" w:cs="Times New Roman"/>
          <w:sz w:val="22"/>
          <w:szCs w:val="22"/>
          <w:lang w:val="es-ES"/>
        </w:rPr>
        <w:t xml:space="preserve">, </w:t>
      </w:r>
      <w:r w:rsidR="008F5469" w:rsidRPr="00652F48">
        <w:rPr>
          <w:rFonts w:ascii="Times New Roman" w:hAnsi="Times New Roman" w:cs="Times New Roman"/>
          <w:sz w:val="22"/>
          <w:szCs w:val="22"/>
          <w:lang w:val="es-ES"/>
        </w:rPr>
        <w:t>Sudáfrica</w:t>
      </w:r>
      <w:r w:rsidR="005F0F90" w:rsidRPr="00652F48">
        <w:rPr>
          <w:rFonts w:ascii="Times New Roman" w:hAnsi="Times New Roman" w:cs="Times New Roman"/>
          <w:sz w:val="22"/>
          <w:szCs w:val="22"/>
          <w:lang w:val="es-ES"/>
        </w:rPr>
        <w:t xml:space="preserve">, </w:t>
      </w:r>
      <w:r w:rsidR="008F5469" w:rsidRPr="00652F48">
        <w:rPr>
          <w:rFonts w:ascii="Times New Roman" w:hAnsi="Times New Roman" w:cs="Times New Roman"/>
          <w:sz w:val="22"/>
          <w:szCs w:val="22"/>
          <w:lang w:val="es-ES"/>
        </w:rPr>
        <w:t>Tailandia</w:t>
      </w:r>
      <w:r w:rsidR="005F0F90" w:rsidRPr="00652F48">
        <w:rPr>
          <w:rFonts w:ascii="Times New Roman" w:hAnsi="Times New Roman" w:cs="Times New Roman"/>
          <w:sz w:val="22"/>
          <w:szCs w:val="22"/>
          <w:lang w:val="es-ES"/>
        </w:rPr>
        <w:t xml:space="preserve">, and </w:t>
      </w:r>
      <w:r w:rsidR="008F5469" w:rsidRPr="00652F48">
        <w:rPr>
          <w:rFonts w:ascii="Times New Roman" w:hAnsi="Times New Roman" w:cs="Times New Roman"/>
          <w:sz w:val="22"/>
          <w:szCs w:val="22"/>
          <w:lang w:val="es-ES"/>
        </w:rPr>
        <w:t>Turquía</w:t>
      </w:r>
      <w:r w:rsidR="005F0F90" w:rsidRPr="00652F48">
        <w:rPr>
          <w:rFonts w:ascii="Times New Roman" w:hAnsi="Times New Roman" w:cs="Times New Roman"/>
          <w:sz w:val="22"/>
          <w:szCs w:val="22"/>
          <w:lang w:val="es-ES"/>
        </w:rPr>
        <w:t>)</w:t>
      </w:r>
      <w:r w:rsidRPr="00652F48">
        <w:rPr>
          <w:rFonts w:ascii="Times New Roman" w:hAnsi="Times New Roman" w:cs="Times New Roman"/>
          <w:sz w:val="22"/>
          <w:szCs w:val="22"/>
          <w:lang w:val="es-ES"/>
        </w:rPr>
        <w:t xml:space="preserve"> en el período 1998-2015, y aplicando datos de panel encuentran evidencia de que dicha deuda es afectada negativamente por bajas tasas de desempleo e inflación. </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También la cuestión fiscal, visto tanto desde el lado del gasto del gobierno como desde el punto de vista impositivo, resulta fundamental para comprender el endeudamiento de los hogares. En relación al gasto, se ha argumentado que en países con poca efectividad gubernamental para prestar los servicios públicos las personas podrían verse impulsadas a utilizar recursos privados propios o de terceros (endeudamiento), a los efectos de remediar la prestación deficitaria de los servicios públicos. Desde esta perspectiva, Colleta </w:t>
      </w:r>
      <w:r w:rsidRPr="00652F48">
        <w:rPr>
          <w:rFonts w:ascii="Times New Roman" w:hAnsi="Times New Roman" w:cs="Times New Roman"/>
          <w:i/>
          <w:sz w:val="22"/>
          <w:szCs w:val="22"/>
          <w:lang w:val="es-ES"/>
        </w:rPr>
        <w:t>et al</w:t>
      </w:r>
      <w:r w:rsidRPr="00652F48">
        <w:rPr>
          <w:rFonts w:ascii="Times New Roman" w:hAnsi="Times New Roman" w:cs="Times New Roman"/>
          <w:sz w:val="22"/>
          <w:szCs w:val="22"/>
          <w:lang w:val="es-ES"/>
        </w:rPr>
        <w:t xml:space="preserve">. (2019), muestran evidencia de una correlación negativa entre la deuda de los hogares y la efectividad del gobierno en servicios públicos. En una misma línea argumental, Lapavitsas (2013) señala que el aumento del endeudamiento de los hogares ha sido asociado a los cambios en la provisión social de servicios básicos incluyendo vivienda, salud, educación, transporte, entre otros. Por otra parte, el estímulo fiscal procedente del aumento del gasto público puede inducir una mayor toma de créditos por parte de los hogares (Rüth y Simon, 2022). </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Con respecto a lo estrictamente impositivo, la equivalencia ricardiana enseña que una rebaja de impuestos en el período presente no debería afectar el consumo futuro, dado que los </w:t>
      </w:r>
      <w:r w:rsidRPr="00652F48">
        <w:rPr>
          <w:rFonts w:ascii="Times New Roman" w:hAnsi="Times New Roman" w:cs="Times New Roman"/>
          <w:sz w:val="22"/>
          <w:szCs w:val="22"/>
          <w:lang w:val="es-ES"/>
        </w:rPr>
        <w:lastRenderedPageBreak/>
        <w:t>agentes racionales ahorrarían ese ingreso transitorio para hacer frente a las previsibles subas futuras de impuestos (Betancourt Gómez, 2013). Cloyne y Surico (2017), muestran que para el caso de Reino Unido los hogares con deuda hipotecaria presentan grandes y significativas respuestas de consumo frente a cambios impositivos, mientras que quienes son propietarios sin una hipoteca, en cambio, no ajustan su gasto. En tal sentido, los autores señalan que los recortes de impuestos afectan el consumo principalmente por relajación de las restricciones de liquidez para los hogares endeudados.</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Andrés, Arce, Thaler, y Thomas</w:t>
      </w:r>
      <w:r w:rsidRPr="00652F48">
        <w:rPr>
          <w:rFonts w:ascii="Times New Roman" w:hAnsi="Times New Roman" w:cs="Times New Roman"/>
          <w:i/>
          <w:sz w:val="22"/>
          <w:szCs w:val="22"/>
          <w:lang w:val="es-ES"/>
        </w:rPr>
        <w:t xml:space="preserve"> </w:t>
      </w:r>
      <w:r w:rsidRPr="00652F48">
        <w:rPr>
          <w:rFonts w:ascii="Times New Roman" w:hAnsi="Times New Roman" w:cs="Times New Roman"/>
          <w:sz w:val="22"/>
          <w:szCs w:val="22"/>
          <w:lang w:val="es-ES"/>
        </w:rPr>
        <w:t>(2020) muestran que los programas de consolidación fiscal grandes son capaces de prolongar la duración del desapalancamiento del sector privado, alargando y profundizando el contexto económico recesivo, cuando coexisten la deuda privada a largo plazo y limitaciones de las garantías sobre nuevos créditos, por lo que la cuestión regulatoria cobra especial énfasis en dicho contexto.</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En relación a las tasas del impuesto a las ganancias corporativas, Park y Lee (2019) muestran que están asociadas positivamente con la deuda corporativa y negativamente con la deuda de los hogares. El estudio utiliza un panel de datos compuesto por 28 países de la OCDE entre  los años 1995 y 2015. Los autores resaltan que la asociación encontrada entre dicho tributo y la deuda proviene de países pequeños donde tasa del impuesto a las ganancias corporativas está fuertemente </w:t>
      </w:r>
      <w:r w:rsidR="001F2F2E" w:rsidRPr="00652F48">
        <w:rPr>
          <w:rFonts w:ascii="Times New Roman" w:hAnsi="Times New Roman" w:cs="Times New Roman"/>
          <w:sz w:val="22"/>
          <w:szCs w:val="22"/>
          <w:lang w:val="es-ES"/>
        </w:rPr>
        <w:t>condicionada</w:t>
      </w:r>
      <w:r w:rsidRPr="00652F48">
        <w:rPr>
          <w:rFonts w:ascii="Times New Roman" w:hAnsi="Times New Roman" w:cs="Times New Roman"/>
          <w:sz w:val="22"/>
          <w:szCs w:val="22"/>
          <w:lang w:val="es-ES"/>
        </w:rPr>
        <w:t xml:space="preserve"> por la competencia fiscal. En este sentido, Park y Lee (2019) argumentan que la deducción fiscal de los pagos de intereses impulsa a las empresas a usar más deuda cuando la tasa impositiva es elevada. En relación al endeudamiento de los hogares, una disminución en la tasa del impuesto a las ganancias corporativas puede explicar alrededor de una cuarta parte del aumento en el endeudamiento promedio de los hogares en las últimas dos décadas. </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Por el lado de la oferta, Colleta </w:t>
      </w:r>
      <w:r w:rsidRPr="00652F48">
        <w:rPr>
          <w:rFonts w:ascii="Times New Roman" w:hAnsi="Times New Roman" w:cs="Times New Roman"/>
          <w:i/>
          <w:sz w:val="22"/>
          <w:szCs w:val="22"/>
          <w:lang w:val="es-ES"/>
        </w:rPr>
        <w:t>et al</w:t>
      </w:r>
      <w:r w:rsidRPr="00652F48">
        <w:rPr>
          <w:rFonts w:ascii="Times New Roman" w:hAnsi="Times New Roman" w:cs="Times New Roman"/>
          <w:sz w:val="22"/>
          <w:szCs w:val="22"/>
          <w:lang w:val="es-ES"/>
        </w:rPr>
        <w:t xml:space="preserve">. (2019) apuntan algunos de los factores que podrían afectar al endeudamiento de los hogares. Ellos son el sistema legal, la solidez de los derechos y la protección legal de prestamistas y prestatarios, la calidad de la información crediticia y la agilidad procedimental con la que los bancos pueden recuperar los créditos otorgados. </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Esto último encuentra directa relación con el gasto imprudente (</w:t>
      </w:r>
      <w:r w:rsidRPr="00652F48">
        <w:rPr>
          <w:rFonts w:ascii="Times New Roman" w:hAnsi="Times New Roman" w:cs="Times New Roman"/>
          <w:i/>
          <w:sz w:val="22"/>
          <w:szCs w:val="22"/>
          <w:lang w:val="es-ES"/>
        </w:rPr>
        <w:t>Reckless Spending</w:t>
      </w:r>
      <w:r w:rsidRPr="00652F48">
        <w:rPr>
          <w:rFonts w:ascii="Times New Roman" w:hAnsi="Times New Roman" w:cs="Times New Roman"/>
          <w:sz w:val="22"/>
          <w:szCs w:val="22"/>
          <w:lang w:val="es-ES"/>
        </w:rPr>
        <w:t xml:space="preserve">), ya que puede incrementar la deuda de los hogares. Hiilamo (2018, p. 79) señala que “la imprudencia del consumidor está relacionada con la supuesta tendencia del prestatario a imitar a otros, pasando por alto los riesgos involucrados en el préstamo, y valores materialistas de los prestatarios. Una situación financiera desesperada también puede crear un riesgo moral, especialmente en aquellos países donde es relativamente fácil implementar los procesos de insolvencia del consumidor. Si no hay manera de pagar de las deudas vencidas, el hogar puede comenzar a acumular deudas anticipando que todo será eventualmente cancelado a través de los procedimientos de insolvencia”. En la misma dirección de gasto imprudente, Frank, </w:t>
      </w:r>
      <w:proofErr w:type="spellStart"/>
      <w:r w:rsidRPr="00652F48">
        <w:rPr>
          <w:rFonts w:ascii="Times New Roman" w:hAnsi="Times New Roman" w:cs="Times New Roman"/>
          <w:sz w:val="22"/>
          <w:szCs w:val="22"/>
          <w:lang w:val="es-ES"/>
        </w:rPr>
        <w:t>Levine</w:t>
      </w:r>
      <w:proofErr w:type="spellEnd"/>
      <w:r w:rsidRPr="00652F48">
        <w:rPr>
          <w:rFonts w:ascii="Times New Roman" w:hAnsi="Times New Roman" w:cs="Times New Roman"/>
          <w:sz w:val="22"/>
          <w:szCs w:val="22"/>
          <w:lang w:val="es-ES"/>
        </w:rPr>
        <w:t xml:space="preserve">, y </w:t>
      </w:r>
      <w:proofErr w:type="spellStart"/>
      <w:r w:rsidRPr="00652F48">
        <w:rPr>
          <w:rFonts w:ascii="Times New Roman" w:hAnsi="Times New Roman" w:cs="Times New Roman"/>
          <w:sz w:val="22"/>
          <w:szCs w:val="22"/>
          <w:lang w:val="es-ES"/>
        </w:rPr>
        <w:lastRenderedPageBreak/>
        <w:t>Dijk</w:t>
      </w:r>
      <w:proofErr w:type="spellEnd"/>
      <w:r w:rsidRPr="00652F48">
        <w:rPr>
          <w:rFonts w:ascii="Times New Roman" w:hAnsi="Times New Roman" w:cs="Times New Roman"/>
          <w:sz w:val="22"/>
          <w:szCs w:val="22"/>
          <w:lang w:val="es-ES"/>
        </w:rPr>
        <w:t xml:space="preserve"> (2014) han sugerido la hipótesis de cascadas de gastos (</w:t>
      </w:r>
      <w:proofErr w:type="spellStart"/>
      <w:r w:rsidRPr="00652F48">
        <w:rPr>
          <w:rFonts w:ascii="Times New Roman" w:hAnsi="Times New Roman" w:cs="Times New Roman"/>
          <w:i/>
          <w:sz w:val="22"/>
          <w:szCs w:val="22"/>
          <w:lang w:val="es-ES"/>
        </w:rPr>
        <w:t>Expenditure</w:t>
      </w:r>
      <w:proofErr w:type="spellEnd"/>
      <w:r w:rsidRPr="00652F48">
        <w:rPr>
          <w:rFonts w:ascii="Times New Roman" w:hAnsi="Times New Roman" w:cs="Times New Roman"/>
          <w:i/>
          <w:sz w:val="22"/>
          <w:szCs w:val="22"/>
          <w:lang w:val="es-ES"/>
        </w:rPr>
        <w:t xml:space="preserve"> </w:t>
      </w:r>
      <w:proofErr w:type="spellStart"/>
      <w:r w:rsidRPr="00652F48">
        <w:rPr>
          <w:rFonts w:ascii="Times New Roman" w:hAnsi="Times New Roman" w:cs="Times New Roman"/>
          <w:i/>
          <w:sz w:val="22"/>
          <w:szCs w:val="22"/>
          <w:lang w:val="es-ES"/>
        </w:rPr>
        <w:t>Cascades</w:t>
      </w:r>
      <w:proofErr w:type="spellEnd"/>
      <w:r w:rsidRPr="00652F48">
        <w:rPr>
          <w:rFonts w:ascii="Times New Roman" w:hAnsi="Times New Roman" w:cs="Times New Roman"/>
          <w:i/>
          <w:sz w:val="22"/>
          <w:szCs w:val="22"/>
          <w:lang w:val="es-ES"/>
        </w:rPr>
        <w:t xml:space="preserve"> Hypothesis</w:t>
      </w:r>
      <w:r w:rsidRPr="00652F48">
        <w:rPr>
          <w:rFonts w:ascii="Times New Roman" w:hAnsi="Times New Roman" w:cs="Times New Roman"/>
          <w:sz w:val="22"/>
          <w:szCs w:val="22"/>
          <w:lang w:val="es-ES"/>
        </w:rPr>
        <w:t xml:space="preserve">) según la cual los sectores de menores ingresos observan los patrones de consumo de los grupos de ingresos más altos, y acumulan deudas en su afán de mantener estándares de consumos similares. Mediciones empíricas de esta hipótesis para el caso de países pertenecientes a la OCDE pueden encontrarse en </w:t>
      </w:r>
      <w:proofErr w:type="spellStart"/>
      <w:r w:rsidRPr="00652F48">
        <w:rPr>
          <w:rFonts w:ascii="Times New Roman" w:hAnsi="Times New Roman" w:cs="Times New Roman"/>
          <w:sz w:val="22"/>
          <w:szCs w:val="22"/>
          <w:lang w:val="es-ES"/>
        </w:rPr>
        <w:t>Malinen</w:t>
      </w:r>
      <w:proofErr w:type="spellEnd"/>
      <w:r w:rsidRPr="00652F48">
        <w:rPr>
          <w:rFonts w:ascii="Times New Roman" w:hAnsi="Times New Roman" w:cs="Times New Roman"/>
          <w:sz w:val="22"/>
          <w:szCs w:val="22"/>
          <w:lang w:val="es-ES"/>
        </w:rPr>
        <w:t xml:space="preserve"> (2016), Stockhammer y </w:t>
      </w:r>
      <w:proofErr w:type="spellStart"/>
      <w:r w:rsidRPr="00652F48">
        <w:rPr>
          <w:rFonts w:ascii="Times New Roman" w:hAnsi="Times New Roman" w:cs="Times New Roman"/>
          <w:sz w:val="22"/>
          <w:szCs w:val="22"/>
          <w:lang w:val="es-ES"/>
        </w:rPr>
        <w:t>Wildauer</w:t>
      </w:r>
      <w:proofErr w:type="spellEnd"/>
      <w:r w:rsidRPr="00652F48">
        <w:rPr>
          <w:rFonts w:ascii="Times New Roman" w:hAnsi="Times New Roman" w:cs="Times New Roman"/>
          <w:sz w:val="22"/>
          <w:szCs w:val="22"/>
          <w:lang w:val="es-ES"/>
        </w:rPr>
        <w:t xml:space="preserve"> (2016) y Klein (2015).</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A estos determinantes de oferta es común adicionar las explicaciones conocidas como la hipótesis de baja tasa de interés (</w:t>
      </w:r>
      <w:r w:rsidRPr="00652F48">
        <w:rPr>
          <w:rFonts w:ascii="Times New Roman" w:hAnsi="Times New Roman" w:cs="Times New Roman"/>
          <w:i/>
          <w:sz w:val="22"/>
          <w:szCs w:val="22"/>
          <w:lang w:val="es-ES"/>
        </w:rPr>
        <w:t>Low Interest Rate Hypothesis</w:t>
      </w:r>
      <w:r w:rsidRPr="00652F48">
        <w:rPr>
          <w:rFonts w:ascii="Times New Roman" w:hAnsi="Times New Roman" w:cs="Times New Roman"/>
          <w:sz w:val="22"/>
          <w:szCs w:val="22"/>
          <w:lang w:val="es-ES"/>
        </w:rPr>
        <w:t>) y la hipótesis de oferta de crédito (</w:t>
      </w:r>
      <w:r w:rsidRPr="00652F48">
        <w:rPr>
          <w:rFonts w:ascii="Times New Roman" w:hAnsi="Times New Roman" w:cs="Times New Roman"/>
          <w:i/>
          <w:sz w:val="22"/>
          <w:szCs w:val="22"/>
          <w:lang w:val="es-ES"/>
        </w:rPr>
        <w:t>Credit Supply Hypothesis</w:t>
      </w:r>
      <w:r w:rsidRPr="00652F48">
        <w:rPr>
          <w:rFonts w:ascii="Times New Roman" w:hAnsi="Times New Roman" w:cs="Times New Roman"/>
          <w:sz w:val="22"/>
          <w:szCs w:val="22"/>
          <w:lang w:val="es-ES"/>
        </w:rPr>
        <w:t>) (Moore y Stockhammer, 2018). La primera, apuntada por Taylor (2009), contextualizada en la economía estadounidense, remite a la idea que las bajas tasas de interés de los fondos federales (</w:t>
      </w:r>
      <w:r w:rsidRPr="00652F48">
        <w:rPr>
          <w:rFonts w:ascii="Times New Roman" w:hAnsi="Times New Roman" w:cs="Times New Roman"/>
          <w:i/>
          <w:sz w:val="22"/>
          <w:szCs w:val="22"/>
          <w:lang w:val="es-ES"/>
        </w:rPr>
        <w:t>Federal Funds</w:t>
      </w:r>
      <w:r w:rsidRPr="00652F48">
        <w:rPr>
          <w:rFonts w:ascii="Times New Roman" w:hAnsi="Times New Roman" w:cs="Times New Roman"/>
          <w:sz w:val="22"/>
          <w:szCs w:val="22"/>
          <w:lang w:val="es-ES"/>
        </w:rPr>
        <w:t>) aumentan la deuda de los hogares porque el interés interbancario a corto plazo es bajo. Los bancos centrales al fijar una baja tasa de política monetaria inducen a un mayor endeudamiento por parte de las familiar. En lo que respecta a la segunda hipótesis mencionada, la característica principal es que los bancos comerciales tienen una mayor predisposición a prestar, redundando en una mayor oferta crediticia y relajando la restricción presupuestaria a la que se enfrentan las familias. Svirydzenka (2016) muestra altos niveles de deuda se encuentran directamente correlacionados con el índice de desarrollo financiero, en el caso de los países europeos. Asimismo, la desregulación financiera, el desarrollo de restricciones financieras más laxas y el avance de la innovación financiera pueden facilitar el acceso al crédito de los sectores de los hogares (Campbell, 2006; Debelle, 2004)</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También Hiilamo (2018) señala que muchos de los factores apuntados anteriormente pueden incluso derivar en situaciones de sobre endeudamiento. Dentro de los estructurales incluye a las fluctuaciones cíclicas y el desarrollo de la industria financiera que pueden incidir en aumentos significativos del costo del endeudamiento, el decrecimiento de los ingresos producto de menores programas de bienestar por parte del estado o de un menor salario, y el aumento general del costo de vida.</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Algunos de los determinantes enunciados hasta aquí han sido testeados para el caso de los países de la OCDE. Stockhammer y </w:t>
      </w:r>
      <w:proofErr w:type="spellStart"/>
      <w:r w:rsidRPr="00652F48">
        <w:rPr>
          <w:rFonts w:ascii="Times New Roman" w:hAnsi="Times New Roman" w:cs="Times New Roman"/>
          <w:sz w:val="22"/>
          <w:szCs w:val="22"/>
          <w:lang w:val="es-ES"/>
        </w:rPr>
        <w:t>Wildauer</w:t>
      </w:r>
      <w:proofErr w:type="spellEnd"/>
      <w:r w:rsidRPr="00652F48">
        <w:rPr>
          <w:rFonts w:ascii="Times New Roman" w:hAnsi="Times New Roman" w:cs="Times New Roman"/>
          <w:sz w:val="22"/>
          <w:szCs w:val="22"/>
          <w:lang w:val="es-ES"/>
        </w:rPr>
        <w:t xml:space="preserve"> (2016) muestran que algunas variables como la participación en el ingreso del 1% superior, los precios de la vivienda, la desregulación financiera, la tasa de interés real a largo plazo y la estructura de edad de la población de un país impulsan las deudas de los hogares. Para ello utilizan como control el efecto de la renta disponible y el coeficiente de </w:t>
      </w:r>
      <w:proofErr w:type="spellStart"/>
      <w:r w:rsidRPr="00652F48">
        <w:rPr>
          <w:rFonts w:ascii="Times New Roman" w:hAnsi="Times New Roman" w:cs="Times New Roman"/>
          <w:sz w:val="22"/>
          <w:szCs w:val="22"/>
          <w:lang w:val="es-ES"/>
        </w:rPr>
        <w:t>Gini</w:t>
      </w:r>
      <w:proofErr w:type="spellEnd"/>
      <w:r w:rsidRPr="00652F48">
        <w:rPr>
          <w:rFonts w:ascii="Times New Roman" w:hAnsi="Times New Roman" w:cs="Times New Roman"/>
          <w:sz w:val="22"/>
          <w:szCs w:val="22"/>
          <w:lang w:val="es-ES"/>
        </w:rPr>
        <w:t>, pero no incorporan variables vinculadas a los activos financieros, la caída de los salarios y el retroceso del estado del bienestar.</w:t>
      </w:r>
    </w:p>
    <w:p w:rsidR="005E49E5" w:rsidRPr="00652F48" w:rsidRDefault="005E49E5" w:rsidP="00652F48">
      <w:pPr>
        <w:pStyle w:val="Textoindependiente"/>
        <w:spacing w:after="240" w:line="360" w:lineRule="auto"/>
        <w:ind w:firstLine="357"/>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Para el caso de países latinoamericanos existen muy pocos estudios documentados. Una excepción a ello es el estudio de Garber, Mian, </w:t>
      </w:r>
      <w:proofErr w:type="spellStart"/>
      <w:r w:rsidRPr="00652F48">
        <w:rPr>
          <w:rFonts w:ascii="Times New Roman" w:hAnsi="Times New Roman" w:cs="Times New Roman"/>
          <w:sz w:val="22"/>
          <w:szCs w:val="22"/>
          <w:lang w:val="es-ES"/>
        </w:rPr>
        <w:t>Ponticelli</w:t>
      </w:r>
      <w:proofErr w:type="spellEnd"/>
      <w:r w:rsidRPr="00652F48">
        <w:rPr>
          <w:rFonts w:ascii="Times New Roman" w:hAnsi="Times New Roman" w:cs="Times New Roman"/>
          <w:sz w:val="22"/>
          <w:szCs w:val="22"/>
          <w:lang w:val="es-ES"/>
        </w:rPr>
        <w:t xml:space="preserve">, y </w:t>
      </w:r>
      <w:proofErr w:type="spellStart"/>
      <w:r w:rsidRPr="00652F48">
        <w:rPr>
          <w:rFonts w:ascii="Times New Roman" w:hAnsi="Times New Roman" w:cs="Times New Roman"/>
          <w:sz w:val="22"/>
          <w:szCs w:val="22"/>
          <w:lang w:val="es-ES"/>
        </w:rPr>
        <w:t>Sufi</w:t>
      </w:r>
      <w:proofErr w:type="spellEnd"/>
      <w:r w:rsidRPr="00652F48">
        <w:rPr>
          <w:rFonts w:ascii="Times New Roman" w:hAnsi="Times New Roman" w:cs="Times New Roman"/>
          <w:i/>
          <w:sz w:val="22"/>
          <w:szCs w:val="22"/>
          <w:lang w:val="es-ES"/>
        </w:rPr>
        <w:t xml:space="preserve"> </w:t>
      </w:r>
      <w:r w:rsidRPr="00652F48">
        <w:rPr>
          <w:rFonts w:ascii="Times New Roman" w:hAnsi="Times New Roman" w:cs="Times New Roman"/>
          <w:sz w:val="22"/>
          <w:szCs w:val="22"/>
          <w:lang w:val="es-ES"/>
        </w:rPr>
        <w:t xml:space="preserve">(2019) quienes caracterizan el ciclo de la deuda de los hogares brasileños en el período 2003-2016. Dos de las principales características asociadas al continuo crecimiento de la deuda de los hogares en ese período están </w:t>
      </w:r>
      <w:r w:rsidRPr="00652F48">
        <w:rPr>
          <w:rFonts w:ascii="Times New Roman" w:hAnsi="Times New Roman" w:cs="Times New Roman"/>
          <w:sz w:val="22"/>
          <w:szCs w:val="22"/>
          <w:lang w:val="es-ES"/>
        </w:rPr>
        <w:lastRenderedPageBreak/>
        <w:t>relacionadas con las hipotecas, y  las deudas provenientes de las tarjetas de crédito. Los autores atribuyen parte del significativo crecimiento de la deuda de los hogares a las reformas legales y programas de gobierno introducidos en los 2000s, contexto macroeconómico relacionado a regulaciones y factores externos vinculados al ingreso de flujos netos de capitales iniciado en 2008, y profundizado entre 2010 y 2014.</w:t>
      </w:r>
    </w:p>
    <w:p w:rsidR="00AC168E" w:rsidRPr="00652F48" w:rsidRDefault="005E49E5" w:rsidP="00652F48">
      <w:pPr>
        <w:pStyle w:val="Textoindependiente"/>
        <w:spacing w:after="240" w:line="360" w:lineRule="auto"/>
        <w:jc w:val="both"/>
        <w:rPr>
          <w:rFonts w:ascii="Times New Roman" w:hAnsi="Times New Roman" w:cs="Times New Roman"/>
          <w:b/>
          <w:sz w:val="22"/>
          <w:szCs w:val="22"/>
          <w:lang w:val="es-ES"/>
        </w:rPr>
      </w:pPr>
      <w:r w:rsidRPr="00652F48">
        <w:rPr>
          <w:rFonts w:ascii="Times New Roman" w:hAnsi="Times New Roman" w:cs="Times New Roman"/>
          <w:b/>
          <w:sz w:val="22"/>
          <w:szCs w:val="22"/>
          <w:lang w:val="es-ES"/>
        </w:rPr>
        <w:t>3. Materiales y método</w:t>
      </w:r>
    </w:p>
    <w:p w:rsidR="005E49E5" w:rsidRPr="00652F48" w:rsidRDefault="005E49E5" w:rsidP="00652F48">
      <w:pPr>
        <w:pStyle w:val="Textoindependiente"/>
        <w:spacing w:after="240"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La muestra empleada se encuentra compuesta por diez países de América Latina (Argentina, Brasil, Chile, Colombia, Costa Rica, El Salvador, Honduras, México, Nicaragua y Perú) y abarca el período 2001-2021. La selección de los mismos obedece a la disponibilidad de información para la construcción de un panel de datos homogéneo. El mismo es desbalanceado, en virtud de algunos datos faltantes</w:t>
      </w:r>
      <w:r w:rsidR="00E6026A" w:rsidRPr="00652F48">
        <w:rPr>
          <w:rFonts w:ascii="Times New Roman" w:hAnsi="Times New Roman" w:cs="Times New Roman"/>
          <w:sz w:val="22"/>
          <w:szCs w:val="22"/>
          <w:lang w:val="es-ES"/>
        </w:rPr>
        <w:t>. Los mismos se informan en la Tabla 1</w:t>
      </w:r>
      <w:r w:rsidRPr="00652F48">
        <w:rPr>
          <w:rFonts w:ascii="Times New Roman" w:hAnsi="Times New Roman" w:cs="Times New Roman"/>
          <w:sz w:val="22"/>
          <w:szCs w:val="22"/>
          <w:lang w:val="es-ES"/>
        </w:rPr>
        <w:t>.</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Sobre la base de los determinantes examinados en la revisión bibliográfica</w:t>
      </w:r>
      <w:r w:rsidR="00E6026A" w:rsidRPr="00652F48">
        <w:rPr>
          <w:rFonts w:ascii="Times New Roman" w:hAnsi="Times New Roman" w:cs="Times New Roman"/>
          <w:sz w:val="22"/>
          <w:szCs w:val="22"/>
          <w:lang w:val="es-ES"/>
        </w:rPr>
        <w:t xml:space="preserve"> y siguiendo la estrategia de</w:t>
      </w:r>
      <w:r w:rsidR="00E36D49" w:rsidRPr="00652F48">
        <w:rPr>
          <w:rFonts w:ascii="Times New Roman" w:hAnsi="Times New Roman" w:cs="Times New Roman"/>
          <w:sz w:val="22"/>
          <w:szCs w:val="22"/>
          <w:lang w:val="es-ES"/>
        </w:rPr>
        <w:t xml:space="preserve"> modelización de efectos fijos propuesta en</w:t>
      </w:r>
      <w:r w:rsidR="00E6026A" w:rsidRPr="00652F48">
        <w:rPr>
          <w:rFonts w:ascii="Times New Roman" w:hAnsi="Times New Roman" w:cs="Times New Roman"/>
          <w:sz w:val="22"/>
          <w:szCs w:val="22"/>
          <w:lang w:val="es-ES"/>
        </w:rPr>
        <w:t xml:space="preserve"> Colleta </w:t>
      </w:r>
      <w:r w:rsidR="00E6026A" w:rsidRPr="00652F48">
        <w:rPr>
          <w:rFonts w:ascii="Times New Roman" w:hAnsi="Times New Roman" w:cs="Times New Roman"/>
          <w:i/>
          <w:sz w:val="22"/>
          <w:szCs w:val="22"/>
          <w:lang w:val="es-ES"/>
        </w:rPr>
        <w:t xml:space="preserve">et al. </w:t>
      </w:r>
      <w:r w:rsidR="00E6026A" w:rsidRPr="00652F48">
        <w:rPr>
          <w:rFonts w:ascii="Times New Roman" w:hAnsi="Times New Roman" w:cs="Times New Roman"/>
          <w:sz w:val="22"/>
          <w:szCs w:val="22"/>
          <w:lang w:val="es-ES"/>
        </w:rPr>
        <w:t>(2019)</w:t>
      </w:r>
      <w:r w:rsidRPr="00652F48">
        <w:rPr>
          <w:rFonts w:ascii="Times New Roman" w:hAnsi="Times New Roman" w:cs="Times New Roman"/>
          <w:sz w:val="22"/>
          <w:szCs w:val="22"/>
          <w:lang w:val="es-ES"/>
        </w:rPr>
        <w:t>, se propone la estimación del siguiente modelo:</w:t>
      </w:r>
    </w:p>
    <w:p w:rsidR="00C7280E" w:rsidRPr="00652F48" w:rsidRDefault="00C7280E" w:rsidP="00652F48">
      <w:pPr>
        <w:pStyle w:val="Textoindependiente"/>
        <w:spacing w:line="360" w:lineRule="auto"/>
        <w:jc w:val="both"/>
        <w:rPr>
          <w:rFonts w:ascii="Times New Roman" w:hAnsi="Times New Roman" w:cs="Times New Roman"/>
          <w:sz w:val="22"/>
          <w:szCs w:val="22"/>
          <w:lang w:val="es-ES"/>
        </w:rPr>
      </w:pPr>
    </w:p>
    <w:p w:rsidR="005E49E5" w:rsidRPr="00652F48" w:rsidRDefault="00917D4F" w:rsidP="00652F48">
      <w:pPr>
        <w:spacing w:line="360" w:lineRule="auto"/>
        <w:jc w:val="center"/>
        <w:rPr>
          <w:rFonts w:ascii="Times New Roman" w:hAnsi="Times New Roman" w:cs="Times New Roman"/>
          <w:lang w:val="es-ES"/>
        </w:rPr>
      </w:pPr>
      <m:oMath>
        <m:sSub>
          <m:sSubPr>
            <m:ctrlPr>
              <w:rPr>
                <w:rFonts w:ascii="Cambria Math" w:hAnsi="Times New Roman" w:cs="Times New Roman"/>
                <w:i/>
              </w:rPr>
            </m:ctrlPr>
          </m:sSubPr>
          <m:e>
            <m:r>
              <w:rPr>
                <w:rFonts w:ascii="Cambria Math" w:hAnsi="Cambria Math" w:cs="Times New Roman"/>
              </w:rPr>
              <m:t>HHD</m:t>
            </m:r>
          </m:e>
          <m:sub>
            <m:r>
              <w:rPr>
                <w:rFonts w:ascii="Cambria Math" w:hAnsi="Cambria Math" w:cs="Times New Roman"/>
              </w:rPr>
              <m:t>i</m:t>
            </m:r>
            <m:r>
              <w:rPr>
                <w:rFonts w:ascii="Cambria Math" w:hAnsi="Times New Roman" w:cs="Times New Roman"/>
                <w:lang w:val="es-ES"/>
              </w:rPr>
              <m:t>,</m:t>
            </m:r>
            <m:r>
              <w:rPr>
                <w:rFonts w:ascii="Cambria Math" w:hAnsi="Cambria Math" w:cs="Times New Roman"/>
              </w:rPr>
              <m:t>t</m:t>
            </m:r>
          </m:sub>
        </m:sSub>
        <m:r>
          <w:rPr>
            <w:rFonts w:ascii="Cambria Math" w:hAnsi="Times New Roman" w:cs="Times New Roman"/>
            <w:lang w:val="es-ES"/>
          </w:rPr>
          <m:t>=</m:t>
        </m:r>
        <m:sSub>
          <m:sSubPr>
            <m:ctrlPr>
              <w:rPr>
                <w:rFonts w:ascii="Cambria Math" w:hAnsi="Times New Roman" w:cs="Times New Roman"/>
                <w:i/>
              </w:rPr>
            </m:ctrlPr>
          </m:sSubPr>
          <m:e>
            <m:r>
              <w:rPr>
                <w:rFonts w:ascii="Cambria Math" w:hAnsi="Cambria Math" w:cs="Times New Roman"/>
              </w:rPr>
              <m:t>α</m:t>
            </m:r>
          </m:e>
          <m:sub>
            <m:r>
              <w:rPr>
                <w:rFonts w:ascii="Cambria Math" w:hAnsi="Times New Roman" w:cs="Times New Roman"/>
                <w:lang w:val="es-ES"/>
              </w:rPr>
              <m:t>0</m:t>
            </m:r>
          </m:sub>
        </m:sSub>
        <m:r>
          <w:rPr>
            <w:rFonts w:ascii="Cambria Math" w:hAnsi="Times New Roman" w:cs="Times New Roman"/>
            <w:lang w:val="es-ES"/>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lang w:val="es-ES"/>
              </w:rPr>
              <m:t>1</m:t>
            </m:r>
          </m:sub>
        </m:sSub>
        <m:sSub>
          <m:sSubPr>
            <m:ctrlPr>
              <w:rPr>
                <w:rFonts w:ascii="Cambria Math" w:hAnsi="Times New Roman" w:cs="Times New Roman"/>
                <w:i/>
              </w:rPr>
            </m:ctrlPr>
          </m:sSubPr>
          <m:e>
            <m:r>
              <w:rPr>
                <w:rFonts w:ascii="Cambria Math" w:hAnsi="Cambria Math" w:cs="Times New Roman"/>
              </w:rPr>
              <m:t>TP</m:t>
            </m:r>
          </m:e>
          <m:sub>
            <m:r>
              <w:rPr>
                <w:rFonts w:ascii="Cambria Math" w:hAnsi="Cambria Math" w:cs="Times New Roman"/>
              </w:rPr>
              <m:t>i</m:t>
            </m:r>
            <m:r>
              <w:rPr>
                <w:rFonts w:ascii="Cambria Math" w:hAnsi="Times New Roman" w:cs="Times New Roman"/>
                <w:lang w:val="es-ES"/>
              </w:rPr>
              <m:t>,</m:t>
            </m:r>
            <m:r>
              <w:rPr>
                <w:rFonts w:ascii="Cambria Math" w:hAnsi="Cambria Math" w:cs="Times New Roman"/>
              </w:rPr>
              <m:t>t</m:t>
            </m:r>
          </m:sub>
        </m:sSub>
        <m:r>
          <w:rPr>
            <w:rFonts w:ascii="Cambria Math" w:hAnsi="Times New Roman" w:cs="Times New Roman"/>
            <w:lang w:val="es-ES"/>
          </w:rPr>
          <m:t>+</m:t>
        </m:r>
        <m:sSub>
          <m:sSubPr>
            <m:ctrlPr>
              <w:rPr>
                <w:rFonts w:ascii="Cambria Math" w:hAnsi="Times New Roman" w:cs="Times New Roman"/>
                <w:i/>
              </w:rPr>
            </m:ctrlPr>
          </m:sSubPr>
          <m:e>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lang w:val="es-ES"/>
                  </w:rPr>
                  <m:t>2</m:t>
                </m:r>
              </m:sub>
            </m:sSub>
            <m:r>
              <w:rPr>
                <w:rFonts w:ascii="Cambria Math" w:hAnsi="Cambria Math" w:cs="Times New Roman"/>
              </w:rPr>
              <m:t>DES</m:t>
            </m:r>
          </m:e>
          <m:sub>
            <m:r>
              <w:rPr>
                <w:rFonts w:ascii="Cambria Math" w:hAnsi="Cambria Math" w:cs="Times New Roman"/>
              </w:rPr>
              <m:t>i</m:t>
            </m:r>
            <m:r>
              <w:rPr>
                <w:rFonts w:ascii="Cambria Math" w:hAnsi="Times New Roman" w:cs="Times New Roman"/>
                <w:lang w:val="es-ES"/>
              </w:rPr>
              <m:t>,</m:t>
            </m:r>
            <m:r>
              <w:rPr>
                <w:rFonts w:ascii="Cambria Math" w:hAnsi="Cambria Math" w:cs="Times New Roman"/>
              </w:rPr>
              <m:t>t</m:t>
            </m:r>
            <m:r>
              <w:rPr>
                <w:rFonts w:ascii="Cambria Math" w:hAnsi="Times New Roman" w:cs="Times New Roman"/>
                <w:lang w:val="es-ES"/>
              </w:rPr>
              <m:t>+</m:t>
            </m:r>
          </m:sub>
        </m:sSub>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lang w:val="es-ES"/>
              </w:rPr>
              <m:t>3</m:t>
            </m:r>
          </m:sub>
        </m:sSub>
        <m:sSub>
          <m:sSubPr>
            <m:ctrlPr>
              <w:rPr>
                <w:rFonts w:ascii="Cambria Math" w:hAnsi="Times New Roman" w:cs="Times New Roman"/>
                <w:i/>
              </w:rPr>
            </m:ctrlPr>
          </m:sSubPr>
          <m:e>
            <m:r>
              <w:rPr>
                <w:rFonts w:ascii="Cambria Math" w:hAnsi="Cambria Math" w:cs="Times New Roman"/>
              </w:rPr>
              <m:t>EV</m:t>
            </m:r>
          </m:e>
          <m:sub>
            <m:r>
              <w:rPr>
                <w:rFonts w:ascii="Cambria Math" w:hAnsi="Cambria Math" w:cs="Times New Roman"/>
              </w:rPr>
              <m:t>i</m:t>
            </m:r>
            <m:r>
              <w:rPr>
                <w:rFonts w:ascii="Cambria Math" w:hAnsi="Times New Roman" w:cs="Times New Roman"/>
                <w:lang w:val="es-ES"/>
              </w:rPr>
              <m:t>,</m:t>
            </m:r>
            <m:r>
              <w:rPr>
                <w:rFonts w:ascii="Cambria Math" w:hAnsi="Cambria Math" w:cs="Times New Roman"/>
              </w:rPr>
              <m:t>t</m:t>
            </m:r>
          </m:sub>
        </m:sSub>
        <m:r>
          <w:rPr>
            <w:rFonts w:ascii="Cambria Math" w:hAnsi="Times New Roman" w:cs="Times New Roman"/>
            <w:lang w:val="es-ES"/>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lang w:val="es-ES"/>
              </w:rPr>
              <m:t>4</m:t>
            </m:r>
          </m:sub>
        </m:sSub>
        <m:sSub>
          <m:sSubPr>
            <m:ctrlPr>
              <w:rPr>
                <w:rFonts w:ascii="Cambria Math" w:hAnsi="Times New Roman" w:cs="Times New Roman"/>
                <w:i/>
              </w:rPr>
            </m:ctrlPr>
          </m:sSubPr>
          <m:e>
            <m:r>
              <w:rPr>
                <w:rFonts w:ascii="Cambria Math" w:hAnsi="Cambria Math" w:cs="Times New Roman"/>
              </w:rPr>
              <m:t>EG</m:t>
            </m:r>
          </m:e>
          <m:sub>
            <m:r>
              <w:rPr>
                <w:rFonts w:ascii="Cambria Math" w:hAnsi="Cambria Math" w:cs="Times New Roman"/>
              </w:rPr>
              <m:t>i</m:t>
            </m:r>
            <m:r>
              <w:rPr>
                <w:rFonts w:ascii="Cambria Math" w:hAnsi="Times New Roman" w:cs="Times New Roman"/>
                <w:lang w:val="es-ES"/>
              </w:rPr>
              <m:t>,</m:t>
            </m:r>
            <m:r>
              <w:rPr>
                <w:rFonts w:ascii="Cambria Math" w:hAnsi="Cambria Math" w:cs="Times New Roman"/>
              </w:rPr>
              <m:t>t</m:t>
            </m:r>
          </m:sub>
        </m:sSub>
        <m:r>
          <w:rPr>
            <w:rFonts w:ascii="Cambria Math" w:hAnsi="Times New Roman" w:cs="Times New Roman"/>
            <w:lang w:val="es-ES"/>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lang w:val="es-ES"/>
              </w:rPr>
              <m:t>5</m:t>
            </m:r>
          </m:sub>
        </m:sSub>
        <m:sSub>
          <m:sSubPr>
            <m:ctrlPr>
              <w:rPr>
                <w:rFonts w:ascii="Cambria Math" w:hAnsi="Times New Roman" w:cs="Times New Roman"/>
                <w:i/>
              </w:rPr>
            </m:ctrlPr>
          </m:sSubPr>
          <m:e>
            <m:r>
              <w:rPr>
                <w:rFonts w:ascii="Cambria Math" w:hAnsi="Cambria Math" w:cs="Times New Roman"/>
              </w:rPr>
              <m:t>INF</m:t>
            </m:r>
          </m:e>
          <m:sub>
            <m:r>
              <w:rPr>
                <w:rFonts w:ascii="Cambria Math" w:hAnsi="Cambria Math" w:cs="Times New Roman"/>
              </w:rPr>
              <m:t>i</m:t>
            </m:r>
            <m:r>
              <w:rPr>
                <w:rFonts w:ascii="Cambria Math" w:hAnsi="Times New Roman" w:cs="Times New Roman"/>
                <w:lang w:val="es-ES"/>
              </w:rPr>
              <m:t>,</m:t>
            </m:r>
            <m:r>
              <w:rPr>
                <w:rFonts w:ascii="Cambria Math" w:hAnsi="Cambria Math" w:cs="Times New Roman"/>
              </w:rPr>
              <m:t>t</m:t>
            </m:r>
          </m:sub>
        </m:sSub>
        <m:r>
          <w:rPr>
            <w:rFonts w:ascii="Cambria Math" w:hAnsi="Times New Roman" w:cs="Times New Roman"/>
            <w:lang w:val="es-ES"/>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lang w:val="es-ES"/>
              </w:rPr>
              <m:t>6</m:t>
            </m:r>
          </m:sub>
        </m:sSub>
        <m:sSub>
          <m:sSubPr>
            <m:ctrlPr>
              <w:rPr>
                <w:rFonts w:ascii="Cambria Math" w:hAnsi="Times New Roman" w:cs="Times New Roman"/>
                <w:i/>
              </w:rPr>
            </m:ctrlPr>
          </m:sSubPr>
          <m:e>
            <m:r>
              <w:rPr>
                <w:rFonts w:ascii="Cambria Math" w:hAnsi="Cambria Math" w:cs="Times New Roman"/>
              </w:rPr>
              <m:t>SAV</m:t>
            </m:r>
          </m:e>
          <m:sub>
            <m:r>
              <w:rPr>
                <w:rFonts w:ascii="Cambria Math" w:hAnsi="Cambria Math" w:cs="Times New Roman"/>
              </w:rPr>
              <m:t>i</m:t>
            </m:r>
            <m:r>
              <w:rPr>
                <w:rFonts w:ascii="Cambria Math" w:hAnsi="Times New Roman" w:cs="Times New Roman"/>
                <w:lang w:val="es-ES"/>
              </w:rPr>
              <m:t>,</m:t>
            </m:r>
            <m:r>
              <w:rPr>
                <w:rFonts w:ascii="Cambria Math" w:hAnsi="Cambria Math" w:cs="Times New Roman"/>
              </w:rPr>
              <m:t>t</m:t>
            </m:r>
          </m:sub>
        </m:sSub>
        <m:r>
          <w:rPr>
            <w:rFonts w:ascii="Cambria Math" w:hAnsi="Times New Roman" w:cs="Times New Roman"/>
            <w:lang w:val="es-ES"/>
          </w:rPr>
          <m:t>+</m:t>
        </m:r>
        <m:sSub>
          <m:sSubPr>
            <m:ctrlPr>
              <w:rPr>
                <w:rFonts w:ascii="Cambria Math" w:hAnsi="Times New Roman" w:cs="Times New Roman"/>
                <w:i/>
              </w:rPr>
            </m:ctrlPr>
          </m:sSubPr>
          <m:e>
            <m:r>
              <w:rPr>
                <w:rFonts w:ascii="Cambria Math" w:hAnsi="Cambria Math" w:cs="Times New Roman"/>
              </w:rPr>
              <m:t>β</m:t>
            </m:r>
          </m:e>
          <m:sub>
            <m:r>
              <w:rPr>
                <w:rFonts w:ascii="Cambria Math" w:hAnsi="Times New Roman" w:cs="Times New Roman"/>
                <w:lang w:val="es-ES"/>
              </w:rPr>
              <m:t>7</m:t>
            </m:r>
          </m:sub>
        </m:sSub>
        <m:sSub>
          <m:sSubPr>
            <m:ctrlPr>
              <w:rPr>
                <w:rFonts w:ascii="Cambria Math" w:hAnsi="Times New Roman" w:cs="Times New Roman"/>
                <w:i/>
              </w:rPr>
            </m:ctrlPr>
          </m:sSubPr>
          <m:e>
            <m:r>
              <w:rPr>
                <w:rFonts w:ascii="Cambria Math" w:hAnsi="Cambria Math" w:cs="Times New Roman"/>
              </w:rPr>
              <m:t>FD</m:t>
            </m:r>
          </m:e>
          <m:sub>
            <m:r>
              <w:rPr>
                <w:rFonts w:ascii="Cambria Math" w:hAnsi="Cambria Math" w:cs="Times New Roman"/>
              </w:rPr>
              <m:t>it</m:t>
            </m:r>
          </m:sub>
        </m:sSub>
        <m:r>
          <w:rPr>
            <w:rFonts w:ascii="Cambria Math" w:hAnsi="Times New Roman" w:cs="Times New Roman"/>
            <w:lang w:val="es-ES"/>
          </w:rPr>
          <m:t>+</m:t>
        </m:r>
        <m:sSub>
          <m:sSubPr>
            <m:ctrlPr>
              <w:rPr>
                <w:rFonts w:ascii="Cambria Math" w:hAnsi="Times New Roman" w:cs="Times New Roman"/>
                <w:i/>
              </w:rPr>
            </m:ctrlPr>
          </m:sSubPr>
          <m:e>
            <m:r>
              <w:rPr>
                <w:rFonts w:ascii="Cambria Math" w:hAnsi="Cambria Math" w:cs="Times New Roman"/>
                <w:lang w:val="es-ES"/>
              </w:rPr>
              <m:t xml:space="preserve">                                                                            </m:t>
            </m:r>
            <m:r>
              <w:rPr>
                <w:rFonts w:ascii="Cambria Math" w:hAnsi="Cambria Math" w:cs="Times New Roman"/>
              </w:rPr>
              <m:t>β</m:t>
            </m:r>
          </m:e>
          <m:sub>
            <m:r>
              <w:rPr>
                <w:rFonts w:ascii="Cambria Math" w:hAnsi="Times New Roman" w:cs="Times New Roman"/>
                <w:lang w:val="es-ES"/>
              </w:rPr>
              <m:t>8</m:t>
            </m:r>
          </m:sub>
        </m:sSub>
        <m:sSub>
          <m:sSubPr>
            <m:ctrlPr>
              <w:rPr>
                <w:rFonts w:ascii="Cambria Math" w:hAnsi="Times New Roman" w:cs="Times New Roman"/>
                <w:i/>
              </w:rPr>
            </m:ctrlPr>
          </m:sSubPr>
          <m:e>
            <m:r>
              <w:rPr>
                <w:rFonts w:ascii="Cambria Math" w:hAnsi="Cambria Math" w:cs="Times New Roman"/>
              </w:rPr>
              <m:t>F</m:t>
            </m:r>
          </m:e>
          <m:sub>
            <m:r>
              <w:rPr>
                <w:rFonts w:ascii="Cambria Math" w:hAnsi="Cambria Math" w:cs="Times New Roman"/>
              </w:rPr>
              <m:t>it</m:t>
            </m:r>
          </m:sub>
        </m:sSub>
        <m:r>
          <w:rPr>
            <w:rFonts w:ascii="Cambria Math" w:hAnsi="Times New Roman" w:cs="Times New Roman"/>
            <w:lang w:val="es-ES"/>
          </w:rPr>
          <m:t>+</m:t>
        </m:r>
        <m:sSub>
          <m:sSubPr>
            <m:ctrlPr>
              <w:rPr>
                <w:rFonts w:ascii="Cambria Math" w:hAnsi="Times New Roman" w:cs="Times New Roman"/>
                <w:i/>
              </w:rPr>
            </m:ctrlPr>
          </m:sSubPr>
          <m:e>
            <m:r>
              <w:rPr>
                <w:rFonts w:ascii="Cambria Math" w:hAnsi="Cambria Math" w:cs="Times New Roman"/>
              </w:rPr>
              <m:t>ε</m:t>
            </m:r>
          </m:e>
          <m:sub>
            <m:r>
              <w:rPr>
                <w:rFonts w:ascii="Cambria Math" w:hAnsi="Cambria Math" w:cs="Times New Roman"/>
              </w:rPr>
              <m:t>it</m:t>
            </m:r>
          </m:sub>
        </m:sSub>
      </m:oMath>
      <w:r w:rsidR="008617A0" w:rsidRPr="00652F48">
        <w:rPr>
          <w:rFonts w:ascii="Times New Roman" w:hAnsi="Times New Roman" w:cs="Times New Roman"/>
          <w:lang w:val="es-ES"/>
        </w:rPr>
        <w:t xml:space="preserve">                                                                 </w:t>
      </w:r>
      <w:r w:rsidR="005B01F0" w:rsidRPr="00652F48">
        <w:rPr>
          <w:rFonts w:ascii="Times New Roman" w:hAnsi="Times New Roman" w:cs="Times New Roman"/>
          <w:lang w:val="es-ES"/>
        </w:rPr>
        <w:t>(1)</w:t>
      </w:r>
    </w:p>
    <w:p w:rsidR="005E49E5" w:rsidRPr="00652F48" w:rsidRDefault="005E49E5" w:rsidP="00652F48">
      <w:pPr>
        <w:spacing w:line="360" w:lineRule="auto"/>
        <w:jc w:val="center"/>
        <w:rPr>
          <w:rFonts w:ascii="Times New Roman" w:hAnsi="Times New Roman" w:cs="Times New Roman"/>
          <w:lang w:val="es-ES"/>
        </w:rPr>
      </w:pPr>
    </w:p>
    <w:p w:rsidR="005E49E5" w:rsidRPr="00652F48" w:rsidRDefault="00E36D49"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La </w:t>
      </w:r>
      <w:r w:rsidR="005E49E5" w:rsidRPr="00652F48">
        <w:rPr>
          <w:rFonts w:ascii="Times New Roman" w:hAnsi="Times New Roman" w:cs="Times New Roman"/>
          <w:sz w:val="22"/>
          <w:szCs w:val="22"/>
          <w:lang w:val="es-ES"/>
        </w:rPr>
        <w:t xml:space="preserve">información </w:t>
      </w:r>
      <w:r w:rsidRPr="00652F48">
        <w:rPr>
          <w:rFonts w:ascii="Times New Roman" w:hAnsi="Times New Roman" w:cs="Times New Roman"/>
          <w:sz w:val="22"/>
          <w:szCs w:val="22"/>
          <w:lang w:val="es-ES"/>
        </w:rPr>
        <w:t xml:space="preserve">de cada una de estas variables </w:t>
      </w:r>
      <w:r w:rsidR="005E49E5" w:rsidRPr="00652F48">
        <w:rPr>
          <w:rFonts w:ascii="Times New Roman" w:hAnsi="Times New Roman" w:cs="Times New Roman"/>
          <w:sz w:val="22"/>
          <w:szCs w:val="22"/>
          <w:lang w:val="es-ES"/>
        </w:rPr>
        <w:t>procede de diferentes fuentes, que se resumen</w:t>
      </w:r>
      <w:r w:rsidRPr="00652F48">
        <w:rPr>
          <w:rFonts w:ascii="Times New Roman" w:hAnsi="Times New Roman" w:cs="Times New Roman"/>
          <w:sz w:val="22"/>
          <w:szCs w:val="22"/>
          <w:lang w:val="es-ES"/>
        </w:rPr>
        <w:t xml:space="preserve"> a continuación</w:t>
      </w:r>
      <w:r w:rsidR="008A413E" w:rsidRPr="00652F48">
        <w:rPr>
          <w:rFonts w:ascii="Times New Roman" w:hAnsi="Times New Roman" w:cs="Times New Roman"/>
          <w:sz w:val="22"/>
          <w:szCs w:val="22"/>
          <w:lang w:val="es-ES"/>
        </w:rPr>
        <w:t xml:space="preserve"> en la Tabla 1. En el Anexo 1 se presenta la información utilizada.</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
    <w:p w:rsidR="005E49E5" w:rsidRPr="00652F48" w:rsidRDefault="005E49E5" w:rsidP="00652F48">
      <w:pPr>
        <w:spacing w:after="240" w:line="360" w:lineRule="auto"/>
        <w:jc w:val="both"/>
        <w:rPr>
          <w:rFonts w:ascii="Times New Roman" w:eastAsiaTheme="minorEastAsia" w:hAnsi="Times New Roman" w:cs="Times New Roman"/>
          <w:b/>
          <w:lang w:val="es-ES"/>
        </w:rPr>
      </w:pPr>
      <w:r w:rsidRPr="00652F48">
        <w:rPr>
          <w:rFonts w:ascii="Times New Roman" w:eastAsiaTheme="minorEastAsia" w:hAnsi="Times New Roman" w:cs="Times New Roman"/>
          <w:b/>
          <w:lang w:val="es-ES"/>
        </w:rPr>
        <w:t>Tabla 1: Fuentes de datos utilizadas</w:t>
      </w:r>
    </w:p>
    <w:tbl>
      <w:tblPr>
        <w:tblW w:w="4891" w:type="pct"/>
        <w:jc w:val="center"/>
        <w:tblLayout w:type="fixed"/>
        <w:tblCellMar>
          <w:left w:w="70" w:type="dxa"/>
          <w:right w:w="70" w:type="dxa"/>
        </w:tblCellMar>
        <w:tblLook w:val="04A0"/>
      </w:tblPr>
      <w:tblGrid>
        <w:gridCol w:w="1033"/>
        <w:gridCol w:w="1162"/>
        <w:gridCol w:w="2960"/>
        <w:gridCol w:w="3301"/>
      </w:tblGrid>
      <w:tr w:rsidR="005E49E5" w:rsidRPr="00652F48" w:rsidTr="00E36D49">
        <w:trPr>
          <w:trHeight w:val="520"/>
          <w:jc w:val="center"/>
        </w:trPr>
        <w:tc>
          <w:tcPr>
            <w:tcW w:w="611" w:type="pct"/>
            <w:tcBorders>
              <w:top w:val="single" w:sz="8" w:space="0" w:color="auto"/>
              <w:bottom w:val="single" w:sz="8" w:space="0" w:color="auto"/>
            </w:tcBorders>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b/>
                <w:bCs/>
                <w:lang w:eastAsia="es-ES"/>
              </w:rPr>
            </w:pPr>
            <w:r w:rsidRPr="00652F48">
              <w:rPr>
                <w:rFonts w:ascii="Times New Roman" w:eastAsia="Times New Roman" w:hAnsi="Times New Roman" w:cs="Times New Roman"/>
                <w:b/>
                <w:bCs/>
                <w:lang w:eastAsia="es-ES"/>
              </w:rPr>
              <w:t>Variable</w:t>
            </w:r>
          </w:p>
        </w:tc>
        <w:tc>
          <w:tcPr>
            <w:tcW w:w="687" w:type="pct"/>
            <w:tcBorders>
              <w:top w:val="single" w:sz="8" w:space="0" w:color="auto"/>
              <w:bottom w:val="single" w:sz="8" w:space="0" w:color="auto"/>
            </w:tcBorders>
            <w:vAlign w:val="center"/>
          </w:tcPr>
          <w:p w:rsidR="005E49E5" w:rsidRPr="00652F48" w:rsidRDefault="005E49E5"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Signo esperado</w:t>
            </w:r>
          </w:p>
        </w:tc>
        <w:tc>
          <w:tcPr>
            <w:tcW w:w="1750" w:type="pct"/>
            <w:tcBorders>
              <w:top w:val="single" w:sz="8" w:space="0" w:color="auto"/>
              <w:bottom w:val="single" w:sz="8" w:space="0" w:color="auto"/>
            </w:tcBorders>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 xml:space="preserve">Fuente </w:t>
            </w:r>
          </w:p>
        </w:tc>
        <w:tc>
          <w:tcPr>
            <w:tcW w:w="1952" w:type="pct"/>
            <w:tcBorders>
              <w:top w:val="single" w:sz="8" w:space="0" w:color="auto"/>
              <w:bottom w:val="single" w:sz="8" w:space="0" w:color="auto"/>
            </w:tcBorders>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Descripción</w:t>
            </w:r>
          </w:p>
        </w:tc>
      </w:tr>
      <w:tr w:rsidR="005E49E5" w:rsidRPr="00EE303F" w:rsidTr="00E36D49">
        <w:trPr>
          <w:trHeight w:val="520"/>
          <w:jc w:val="center"/>
        </w:trPr>
        <w:tc>
          <w:tcPr>
            <w:tcW w:w="611" w:type="pct"/>
            <w:tcBorders>
              <w:top w:val="single" w:sz="8" w:space="0" w:color="auto"/>
            </w:tcBorders>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bCs/>
                <w:lang w:eastAsia="es-ES"/>
              </w:rPr>
              <w:t>HHD</w:t>
            </w:r>
            <w:r w:rsidRPr="00652F48">
              <w:rPr>
                <w:rFonts w:ascii="Times New Roman" w:eastAsia="Times New Roman" w:hAnsi="Times New Roman" w:cs="Times New Roman"/>
                <w:lang w:eastAsia="es-ES"/>
              </w:rPr>
              <w:t xml:space="preserve"> </w:t>
            </w:r>
          </w:p>
        </w:tc>
        <w:tc>
          <w:tcPr>
            <w:tcW w:w="687" w:type="pct"/>
            <w:tcBorders>
              <w:top w:val="single" w:sz="8" w:space="0" w:color="auto"/>
            </w:tcBorders>
            <w:vAlign w:val="center"/>
          </w:tcPr>
          <w:p w:rsidR="005E49E5" w:rsidRPr="00652F48" w:rsidRDefault="005E49E5" w:rsidP="00652F48">
            <w:pPr>
              <w:spacing w:line="360" w:lineRule="auto"/>
              <w:jc w:val="center"/>
              <w:rPr>
                <w:rFonts w:ascii="Times New Roman" w:eastAsia="Times New Roman" w:hAnsi="Times New Roman" w:cs="Times New Roman"/>
                <w:i/>
                <w:lang w:eastAsia="es-ES"/>
              </w:rPr>
            </w:pPr>
          </w:p>
        </w:tc>
        <w:tc>
          <w:tcPr>
            <w:tcW w:w="1750" w:type="pct"/>
            <w:tcBorders>
              <w:top w:val="single" w:sz="8" w:space="0" w:color="auto"/>
            </w:tcBorders>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Global Debt Database</w:t>
            </w:r>
          </w:p>
        </w:tc>
        <w:tc>
          <w:tcPr>
            <w:tcW w:w="1952" w:type="pct"/>
            <w:tcBorders>
              <w:top w:val="single" w:sz="8" w:space="0" w:color="auto"/>
            </w:tcBorders>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lang w:val="es-ES" w:eastAsia="es-ES"/>
              </w:rPr>
              <w:t>Deuda de los hogares, préstamos y valores representativos de deuda como porcentaje del PIB.</w:t>
            </w:r>
          </w:p>
        </w:tc>
      </w:tr>
      <w:tr w:rsidR="005E49E5" w:rsidRPr="00EE303F" w:rsidTr="00E36D49">
        <w:trPr>
          <w:trHeight w:val="52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bCs/>
                <w:lang w:val="es-ES" w:eastAsia="es-ES"/>
              </w:rPr>
            </w:pP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i/>
                <w:lang w:val="es-ES" w:eastAsia="es-ES"/>
              </w:rPr>
            </w:pP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val="es-ES" w:eastAsia="es-ES"/>
              </w:rPr>
            </w:pP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r>
      <w:tr w:rsidR="005E49E5" w:rsidRPr="00EE303F"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xml:space="preserve">TP </w:t>
            </w: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Negativo</w:t>
            </w: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val="es-ES" w:eastAsia="es-ES"/>
              </w:rPr>
            </w:pPr>
            <w:r w:rsidRPr="00652F48">
              <w:rPr>
                <w:rFonts w:ascii="Times New Roman" w:eastAsia="Times New Roman" w:hAnsi="Times New Roman" w:cs="Times New Roman"/>
                <w:i/>
                <w:lang w:val="es-ES" w:eastAsia="es-ES"/>
              </w:rPr>
              <w:t xml:space="preserve">International Financial Satistics – IFS, </w:t>
            </w:r>
            <w:r w:rsidRPr="00652F48">
              <w:rPr>
                <w:rFonts w:ascii="Times New Roman" w:eastAsia="Times New Roman" w:hAnsi="Times New Roman" w:cs="Times New Roman"/>
                <w:lang w:val="es-ES" w:eastAsia="es-ES"/>
              </w:rPr>
              <w:t xml:space="preserve">excepto El Salvador en el período 2012-2021 cuya fuente es el Banco </w:t>
            </w:r>
            <w:r w:rsidR="003D714A" w:rsidRPr="00652F48">
              <w:rPr>
                <w:rFonts w:ascii="Times New Roman" w:eastAsia="Times New Roman" w:hAnsi="Times New Roman" w:cs="Times New Roman"/>
                <w:lang w:val="es-ES" w:eastAsia="es-ES"/>
              </w:rPr>
              <w:t>C</w:t>
            </w:r>
            <w:r w:rsidRPr="00652F48">
              <w:rPr>
                <w:rFonts w:ascii="Times New Roman" w:eastAsia="Times New Roman" w:hAnsi="Times New Roman" w:cs="Times New Roman"/>
                <w:lang w:val="es-ES" w:eastAsia="es-ES"/>
              </w:rPr>
              <w:t xml:space="preserve">entral del Salvador. Serie </w:t>
            </w:r>
            <w:r w:rsidRPr="00652F48">
              <w:rPr>
                <w:rFonts w:ascii="Times New Roman" w:eastAsia="Times New Roman" w:hAnsi="Times New Roman" w:cs="Times New Roman"/>
                <w:lang w:val="es-ES" w:eastAsia="es-ES"/>
              </w:rPr>
              <w:lastRenderedPageBreak/>
              <w:t>inco</w:t>
            </w:r>
            <w:r w:rsidR="006F2359" w:rsidRPr="00652F48">
              <w:rPr>
                <w:rFonts w:ascii="Times New Roman" w:eastAsia="Times New Roman" w:hAnsi="Times New Roman" w:cs="Times New Roman"/>
                <w:lang w:val="es-ES" w:eastAsia="es-ES"/>
              </w:rPr>
              <w:t xml:space="preserve">mpleta para Argentina 2002-2009, </w:t>
            </w:r>
            <w:r w:rsidRPr="00652F48">
              <w:rPr>
                <w:rFonts w:ascii="Times New Roman" w:eastAsia="Times New Roman" w:hAnsi="Times New Roman" w:cs="Times New Roman"/>
                <w:lang w:val="es-ES" w:eastAsia="es-ES"/>
              </w:rPr>
              <w:t>Chile 2019-2021</w:t>
            </w:r>
            <w:r w:rsidR="006F2359" w:rsidRPr="00652F48">
              <w:rPr>
                <w:rFonts w:ascii="Times New Roman" w:eastAsia="Times New Roman" w:hAnsi="Times New Roman" w:cs="Times New Roman"/>
                <w:lang w:val="es-ES" w:eastAsia="es-ES"/>
              </w:rPr>
              <w:t xml:space="preserve"> y El Salvador 2001-2011</w:t>
            </w:r>
            <w:r w:rsidRPr="00652F48">
              <w:rPr>
                <w:rFonts w:ascii="Times New Roman" w:eastAsia="Times New Roman" w:hAnsi="Times New Roman" w:cs="Times New Roman"/>
                <w:lang w:val="es-ES" w:eastAsia="es-ES"/>
              </w:rPr>
              <w:t>.</w:t>
            </w: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lang w:val="es-ES" w:eastAsia="es-ES"/>
              </w:rPr>
              <w:lastRenderedPageBreak/>
              <w:t>Tasa de los préstamos, expresada en porcentaje.</w:t>
            </w:r>
          </w:p>
        </w:tc>
      </w:tr>
      <w:tr w:rsidR="005E49E5" w:rsidRPr="00EE303F"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val="es-ES" w:eastAsia="es-ES"/>
              </w:rPr>
            </w:pP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r>
      <w:tr w:rsidR="005E49E5" w:rsidRPr="00652F48"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DES</w:t>
            </w: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Negativo</w:t>
            </w: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i/>
                <w:lang w:val="es-ES" w:eastAsia="es-ES"/>
              </w:rPr>
              <w:t xml:space="preserve">International Financial Satistics </w:t>
            </w:r>
            <w:r w:rsidR="00FB47D7" w:rsidRPr="00652F48">
              <w:rPr>
                <w:rFonts w:ascii="Times New Roman" w:eastAsia="Times New Roman" w:hAnsi="Times New Roman" w:cs="Times New Roman"/>
                <w:i/>
                <w:lang w:val="es-ES" w:eastAsia="es-ES"/>
              </w:rPr>
              <w:t>–</w:t>
            </w:r>
            <w:r w:rsidRPr="00652F48">
              <w:rPr>
                <w:rFonts w:ascii="Times New Roman" w:eastAsia="Times New Roman" w:hAnsi="Times New Roman" w:cs="Times New Roman"/>
                <w:i/>
                <w:lang w:val="es-ES" w:eastAsia="es-ES"/>
              </w:rPr>
              <w:t xml:space="preserve"> IFS</w:t>
            </w:r>
            <w:r w:rsidR="00FB47D7" w:rsidRPr="00652F48">
              <w:rPr>
                <w:rFonts w:ascii="Times New Roman" w:eastAsia="Times New Roman" w:hAnsi="Times New Roman" w:cs="Times New Roman"/>
                <w:i/>
                <w:lang w:val="es-ES" w:eastAsia="es-ES"/>
              </w:rPr>
              <w:t xml:space="preserve"> y World Bank</w:t>
            </w:r>
            <w:r w:rsidR="00FB47D7" w:rsidRPr="00652F48">
              <w:rPr>
                <w:rFonts w:ascii="Times New Roman" w:eastAsia="Times New Roman" w:hAnsi="Times New Roman" w:cs="Times New Roman"/>
                <w:lang w:val="es-ES" w:eastAsia="es-ES"/>
              </w:rPr>
              <w:t xml:space="preserve"> para Honduras y Nicaragua.</w:t>
            </w: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Tasa de desempleo.</w:t>
            </w:r>
          </w:p>
        </w:tc>
      </w:tr>
      <w:tr w:rsidR="005E49E5" w:rsidRPr="00652F48"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eastAsia="es-ES"/>
              </w:rPr>
            </w:pP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eastAsia="es-ES"/>
              </w:rPr>
            </w:pP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p>
        </w:tc>
      </w:tr>
      <w:tr w:rsidR="005E49E5" w:rsidRPr="00EE303F"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xml:space="preserve">EV </w:t>
            </w: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Positivo</w:t>
            </w: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i/>
                <w:lang w:val="es-ES" w:eastAsia="es-ES"/>
              </w:rPr>
              <w:t>World Bank</w:t>
            </w:r>
            <w:r w:rsidRPr="00652F48">
              <w:rPr>
                <w:rFonts w:ascii="Times New Roman" w:eastAsia="Times New Roman" w:hAnsi="Times New Roman" w:cs="Times New Roman"/>
                <w:lang w:val="es-ES" w:eastAsia="es-ES"/>
              </w:rPr>
              <w:t xml:space="preserve">. Dato faltante para </w:t>
            </w:r>
            <w:r w:rsidR="00471E57" w:rsidRPr="00652F48">
              <w:rPr>
                <w:rFonts w:ascii="Times New Roman" w:eastAsia="Times New Roman" w:hAnsi="Times New Roman" w:cs="Times New Roman"/>
                <w:lang w:val="es-ES" w:eastAsia="es-ES"/>
              </w:rPr>
              <w:t xml:space="preserve">el año </w:t>
            </w:r>
            <w:r w:rsidRPr="00652F48">
              <w:rPr>
                <w:rFonts w:ascii="Times New Roman" w:eastAsia="Times New Roman" w:hAnsi="Times New Roman" w:cs="Times New Roman"/>
                <w:lang w:val="es-ES" w:eastAsia="es-ES"/>
              </w:rPr>
              <w:t>2021.</w:t>
            </w: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lang w:val="es-ES" w:eastAsia="es-ES"/>
              </w:rPr>
              <w:t>Esperanza de vida al nacer de la población, sin distinción de género.</w:t>
            </w:r>
          </w:p>
        </w:tc>
      </w:tr>
      <w:tr w:rsidR="005E49E5" w:rsidRPr="00EE303F"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val="es-ES" w:eastAsia="es-ES"/>
              </w:rPr>
            </w:pP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r>
      <w:tr w:rsidR="005E49E5" w:rsidRPr="00652F48"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xml:space="preserve">EG </w:t>
            </w: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Negativo</w:t>
            </w: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i/>
                <w:lang w:val="es-ES" w:eastAsia="es-ES"/>
              </w:rPr>
              <w:t>World Bank</w:t>
            </w:r>
            <w:r w:rsidRPr="00652F48">
              <w:rPr>
                <w:rFonts w:ascii="Times New Roman" w:eastAsia="Times New Roman" w:hAnsi="Times New Roman" w:cs="Times New Roman"/>
                <w:lang w:val="es-ES" w:eastAsia="es-ES"/>
              </w:rPr>
              <w:t>. Serie incompleta para el año 2001 para todos los países.</w:t>
            </w: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val="es-ES" w:eastAsia="es-ES"/>
              </w:rPr>
              <w:t xml:space="preserve">Refleja las percepciones de la calidad de los servicios públicos, la calidad del servicio civil y el grado de su independencia de las presiones políticas, la calidad de la formulación e implementación de políticas y la credibilidad del compromiso del gobierno con dichas políticas. </w:t>
            </w:r>
            <w:r w:rsidRPr="00652F48">
              <w:rPr>
                <w:rFonts w:ascii="Times New Roman" w:eastAsia="Times New Roman" w:hAnsi="Times New Roman" w:cs="Times New Roman"/>
                <w:lang w:eastAsia="es-ES"/>
              </w:rPr>
              <w:t>Es un índice que oscila entre −2,5</w:t>
            </w:r>
          </w:p>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a +2.5</w:t>
            </w:r>
          </w:p>
        </w:tc>
      </w:tr>
      <w:tr w:rsidR="005E49E5" w:rsidRPr="00652F48"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eastAsia="es-ES"/>
              </w:rPr>
            </w:pP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eastAsia="es-ES"/>
              </w:rPr>
            </w:pP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p>
        </w:tc>
      </w:tr>
      <w:tr w:rsidR="005E49E5" w:rsidRPr="00EE303F"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xml:space="preserve">INF </w:t>
            </w: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Ambigüo</w:t>
            </w: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val="es-ES" w:eastAsia="es-ES"/>
              </w:rPr>
            </w:pPr>
            <w:r w:rsidRPr="00652F48">
              <w:rPr>
                <w:rFonts w:ascii="Times New Roman" w:eastAsia="Times New Roman" w:hAnsi="Times New Roman" w:cs="Times New Roman"/>
                <w:i/>
                <w:lang w:val="es-ES" w:eastAsia="es-ES"/>
              </w:rPr>
              <w:t xml:space="preserve">WEO-FMI, </w:t>
            </w:r>
            <w:r w:rsidRPr="00652F48">
              <w:rPr>
                <w:rFonts w:ascii="Times New Roman" w:eastAsia="Times New Roman" w:hAnsi="Times New Roman" w:cs="Times New Roman"/>
                <w:lang w:val="es-ES" w:eastAsia="es-ES"/>
              </w:rPr>
              <w:t>excepto Argentina  entre 1994-1997 cuya fuente es Ferreres (2005) y 2006-2021 que fue obtenido del IPC elaborado por la provincia de San Luis</w:t>
            </w: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lang w:val="es-ES" w:eastAsia="es-ES"/>
              </w:rPr>
              <w:t>Tasa de inflación, expresada en porcentaje.</w:t>
            </w:r>
          </w:p>
        </w:tc>
      </w:tr>
      <w:tr w:rsidR="005E49E5" w:rsidRPr="00EE303F"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val="es-ES" w:eastAsia="es-ES"/>
              </w:rPr>
            </w:pP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r>
      <w:tr w:rsidR="005E49E5" w:rsidRPr="00EE303F"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SAV</w:t>
            </w: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Negativo</w:t>
            </w: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World Bank</w:t>
            </w: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lang w:val="es-ES" w:eastAsia="es-ES"/>
              </w:rPr>
              <w:t xml:space="preserve">Utilizada como </w:t>
            </w:r>
            <w:r w:rsidRPr="00652F48">
              <w:rPr>
                <w:rFonts w:ascii="Times New Roman" w:eastAsia="Times New Roman" w:hAnsi="Times New Roman" w:cs="Times New Roman"/>
                <w:i/>
                <w:lang w:val="es-ES" w:eastAsia="es-ES"/>
              </w:rPr>
              <w:t>proxy</w:t>
            </w:r>
            <w:r w:rsidRPr="00652F48">
              <w:rPr>
                <w:rFonts w:ascii="Times New Roman" w:eastAsia="Times New Roman" w:hAnsi="Times New Roman" w:cs="Times New Roman"/>
                <w:lang w:val="es-ES" w:eastAsia="es-ES"/>
              </w:rPr>
              <w:t xml:space="preserve"> de ahorro. </w:t>
            </w:r>
            <w:r w:rsidR="00863843" w:rsidRPr="00652F48">
              <w:rPr>
                <w:rFonts w:ascii="Times New Roman" w:eastAsia="Times New Roman" w:hAnsi="Times New Roman" w:cs="Times New Roman"/>
                <w:lang w:val="es-ES" w:eastAsia="es-ES"/>
              </w:rPr>
              <w:t>Ahorro bruto como p</w:t>
            </w:r>
            <w:r w:rsidRPr="00652F48">
              <w:rPr>
                <w:rFonts w:ascii="Times New Roman" w:eastAsia="Times New Roman" w:hAnsi="Times New Roman" w:cs="Times New Roman"/>
                <w:lang w:val="es-ES" w:eastAsia="es-ES"/>
              </w:rPr>
              <w:t>orcentaje de PBI.</w:t>
            </w:r>
          </w:p>
        </w:tc>
      </w:tr>
      <w:tr w:rsidR="005E49E5" w:rsidRPr="00EE303F"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val="es-ES" w:eastAsia="es-ES"/>
              </w:rPr>
            </w:pP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r>
      <w:tr w:rsidR="005E49E5" w:rsidRPr="00EE303F" w:rsidTr="00E36D49">
        <w:trPr>
          <w:trHeight w:val="290"/>
          <w:jc w:val="center"/>
        </w:trPr>
        <w:tc>
          <w:tcPr>
            <w:tcW w:w="611" w:type="pct"/>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FD</w:t>
            </w:r>
          </w:p>
        </w:tc>
        <w:tc>
          <w:tcPr>
            <w:tcW w:w="687" w:type="pct"/>
            <w:vAlign w:val="center"/>
          </w:tcPr>
          <w:p w:rsidR="005E49E5" w:rsidRPr="00652F48" w:rsidRDefault="005E49E5"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Positivo</w:t>
            </w:r>
          </w:p>
        </w:tc>
        <w:tc>
          <w:tcPr>
            <w:tcW w:w="1750"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i/>
                <w:lang w:val="es-ES" w:eastAsia="es-ES"/>
              </w:rPr>
              <w:t>Global Financial Devolopment Database</w:t>
            </w:r>
            <w:r w:rsidR="006F2359" w:rsidRPr="00652F48">
              <w:rPr>
                <w:rFonts w:ascii="Times New Roman" w:eastAsia="Times New Roman" w:hAnsi="Times New Roman" w:cs="Times New Roman"/>
                <w:lang w:val="es-ES" w:eastAsia="es-ES"/>
              </w:rPr>
              <w:t xml:space="preserve">. Datos faltantes para </w:t>
            </w:r>
            <w:r w:rsidR="006F2359" w:rsidRPr="00652F48">
              <w:rPr>
                <w:rFonts w:ascii="Times New Roman" w:eastAsia="Times New Roman" w:hAnsi="Times New Roman" w:cs="Times New Roman"/>
                <w:lang w:val="es-ES" w:eastAsia="es-ES"/>
              </w:rPr>
              <w:lastRenderedPageBreak/>
              <w:t>Argentina 2018-2020</w:t>
            </w:r>
          </w:p>
        </w:tc>
        <w:tc>
          <w:tcPr>
            <w:tcW w:w="1952" w:type="pct"/>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lang w:val="es-ES" w:eastAsia="es-ES"/>
              </w:rPr>
              <w:lastRenderedPageBreak/>
              <w:t xml:space="preserve">Depósitos del sistema financiero como porcentaje del PBI. Utilizada </w:t>
            </w:r>
            <w:r w:rsidRPr="00652F48">
              <w:rPr>
                <w:rFonts w:ascii="Times New Roman" w:eastAsia="Times New Roman" w:hAnsi="Times New Roman" w:cs="Times New Roman"/>
                <w:lang w:val="es-ES" w:eastAsia="es-ES"/>
              </w:rPr>
              <w:lastRenderedPageBreak/>
              <w:t xml:space="preserve">como </w:t>
            </w:r>
            <w:r w:rsidRPr="00652F48">
              <w:rPr>
                <w:rFonts w:ascii="Times New Roman" w:eastAsia="Times New Roman" w:hAnsi="Times New Roman" w:cs="Times New Roman"/>
                <w:i/>
                <w:lang w:val="es-ES" w:eastAsia="es-ES"/>
              </w:rPr>
              <w:t>proxy</w:t>
            </w:r>
            <w:r w:rsidRPr="00652F48">
              <w:rPr>
                <w:rFonts w:ascii="Times New Roman" w:eastAsia="Times New Roman" w:hAnsi="Times New Roman" w:cs="Times New Roman"/>
                <w:lang w:val="es-ES" w:eastAsia="es-ES"/>
              </w:rPr>
              <w:t xml:space="preserve"> de profundidad y desarrollo financiero.</w:t>
            </w:r>
          </w:p>
        </w:tc>
      </w:tr>
      <w:tr w:rsidR="00882641" w:rsidRPr="00EE303F" w:rsidTr="00E36D49">
        <w:trPr>
          <w:trHeight w:val="290"/>
          <w:jc w:val="center"/>
        </w:trPr>
        <w:tc>
          <w:tcPr>
            <w:tcW w:w="611" w:type="pct"/>
            <w:shd w:val="clear" w:color="auto" w:fill="auto"/>
            <w:vAlign w:val="center"/>
            <w:hideMark/>
          </w:tcPr>
          <w:p w:rsidR="00882641" w:rsidRPr="00652F48" w:rsidRDefault="00882641" w:rsidP="00652F48">
            <w:pPr>
              <w:spacing w:line="360" w:lineRule="auto"/>
              <w:jc w:val="center"/>
              <w:rPr>
                <w:rFonts w:ascii="Times New Roman" w:eastAsia="Times New Roman" w:hAnsi="Times New Roman" w:cs="Times New Roman"/>
                <w:lang w:val="es-ES" w:eastAsia="es-ES"/>
              </w:rPr>
            </w:pPr>
          </w:p>
        </w:tc>
        <w:tc>
          <w:tcPr>
            <w:tcW w:w="687" w:type="pct"/>
            <w:vAlign w:val="center"/>
          </w:tcPr>
          <w:p w:rsidR="00882641" w:rsidRPr="00652F48" w:rsidRDefault="00882641" w:rsidP="00652F48">
            <w:pPr>
              <w:spacing w:line="360" w:lineRule="auto"/>
              <w:jc w:val="center"/>
              <w:rPr>
                <w:rFonts w:ascii="Times New Roman" w:eastAsia="Times New Roman" w:hAnsi="Times New Roman" w:cs="Times New Roman"/>
                <w:lang w:val="es-ES" w:eastAsia="es-ES"/>
              </w:rPr>
            </w:pPr>
          </w:p>
        </w:tc>
        <w:tc>
          <w:tcPr>
            <w:tcW w:w="1750" w:type="pct"/>
            <w:shd w:val="clear" w:color="auto" w:fill="auto"/>
            <w:noWrap/>
            <w:vAlign w:val="center"/>
            <w:hideMark/>
          </w:tcPr>
          <w:p w:rsidR="00882641" w:rsidRPr="00652F48" w:rsidRDefault="00882641" w:rsidP="00652F48">
            <w:pPr>
              <w:spacing w:line="360" w:lineRule="auto"/>
              <w:jc w:val="center"/>
              <w:rPr>
                <w:rFonts w:ascii="Times New Roman" w:eastAsia="Times New Roman" w:hAnsi="Times New Roman" w:cs="Times New Roman"/>
                <w:i/>
                <w:lang w:val="es-ES" w:eastAsia="es-ES"/>
              </w:rPr>
            </w:pPr>
          </w:p>
        </w:tc>
        <w:tc>
          <w:tcPr>
            <w:tcW w:w="1952" w:type="pct"/>
            <w:shd w:val="clear" w:color="auto" w:fill="auto"/>
            <w:noWrap/>
            <w:vAlign w:val="center"/>
            <w:hideMark/>
          </w:tcPr>
          <w:p w:rsidR="00882641" w:rsidRPr="00652F48" w:rsidRDefault="00882641" w:rsidP="00652F48">
            <w:pPr>
              <w:spacing w:line="360" w:lineRule="auto"/>
              <w:jc w:val="center"/>
              <w:rPr>
                <w:rFonts w:ascii="Times New Roman" w:eastAsia="Times New Roman" w:hAnsi="Times New Roman" w:cs="Times New Roman"/>
                <w:lang w:val="es-ES" w:eastAsia="es-ES"/>
              </w:rPr>
            </w:pPr>
          </w:p>
        </w:tc>
      </w:tr>
      <w:tr w:rsidR="00E6026A" w:rsidRPr="00EE303F" w:rsidTr="00E36D49">
        <w:trPr>
          <w:trHeight w:val="290"/>
          <w:jc w:val="center"/>
        </w:trPr>
        <w:tc>
          <w:tcPr>
            <w:tcW w:w="611" w:type="pct"/>
            <w:shd w:val="clear" w:color="auto" w:fill="auto"/>
            <w:vAlign w:val="center"/>
            <w:hideMark/>
          </w:tcPr>
          <w:p w:rsidR="00E6026A" w:rsidRPr="00652F48" w:rsidRDefault="00E6026A"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F</w:t>
            </w:r>
          </w:p>
        </w:tc>
        <w:tc>
          <w:tcPr>
            <w:tcW w:w="687" w:type="pct"/>
            <w:vAlign w:val="center"/>
          </w:tcPr>
          <w:p w:rsidR="00E6026A" w:rsidRPr="00652F48" w:rsidRDefault="00E6026A"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Positiv</w:t>
            </w:r>
            <w:r w:rsidR="00882641" w:rsidRPr="00652F48">
              <w:rPr>
                <w:rFonts w:ascii="Times New Roman" w:eastAsia="Times New Roman" w:hAnsi="Times New Roman" w:cs="Times New Roman"/>
                <w:lang w:eastAsia="es-ES"/>
              </w:rPr>
              <w:t>o</w:t>
            </w:r>
          </w:p>
        </w:tc>
        <w:tc>
          <w:tcPr>
            <w:tcW w:w="1750" w:type="pct"/>
            <w:shd w:val="clear" w:color="auto" w:fill="auto"/>
            <w:noWrap/>
            <w:vAlign w:val="center"/>
            <w:hideMark/>
          </w:tcPr>
          <w:p w:rsidR="00E6026A" w:rsidRPr="00652F48" w:rsidRDefault="00882641" w:rsidP="00652F48">
            <w:pPr>
              <w:spacing w:line="360" w:lineRule="auto"/>
              <w:jc w:val="center"/>
              <w:rPr>
                <w:rFonts w:ascii="Times New Roman" w:eastAsia="Times New Roman" w:hAnsi="Times New Roman" w:cs="Times New Roman"/>
                <w:i/>
                <w:lang w:val="es-ES" w:eastAsia="es-ES"/>
              </w:rPr>
            </w:pPr>
            <w:r w:rsidRPr="00652F48">
              <w:rPr>
                <w:rFonts w:ascii="Times New Roman" w:eastAsia="Times New Roman" w:hAnsi="Times New Roman" w:cs="Times New Roman"/>
                <w:i/>
                <w:lang w:val="es-ES" w:eastAsia="es-ES"/>
              </w:rPr>
              <w:t>Variable artificial</w:t>
            </w:r>
          </w:p>
        </w:tc>
        <w:tc>
          <w:tcPr>
            <w:tcW w:w="1952" w:type="pct"/>
            <w:shd w:val="clear" w:color="auto" w:fill="auto"/>
            <w:noWrap/>
            <w:vAlign w:val="center"/>
            <w:hideMark/>
          </w:tcPr>
          <w:p w:rsidR="00E6026A" w:rsidRPr="00652F48" w:rsidRDefault="00882641" w:rsidP="00652F48">
            <w:pPr>
              <w:spacing w:line="360" w:lineRule="auto"/>
              <w:jc w:val="center"/>
              <w:rPr>
                <w:rFonts w:ascii="Times New Roman" w:eastAsia="Times New Roman" w:hAnsi="Times New Roman" w:cs="Times New Roman"/>
                <w:lang w:val="es-ES" w:eastAsia="es-ES"/>
              </w:rPr>
            </w:pPr>
            <w:r w:rsidRPr="00652F48">
              <w:rPr>
                <w:rFonts w:ascii="Times New Roman" w:eastAsia="Times New Roman" w:hAnsi="Times New Roman" w:cs="Times New Roman"/>
                <w:lang w:val="es-ES" w:eastAsia="es-ES"/>
              </w:rPr>
              <w:t>Variable que asume un valor igual a uno en el año 2020 para tod</w:t>
            </w:r>
            <w:r w:rsidR="001339AE" w:rsidRPr="00652F48">
              <w:rPr>
                <w:rFonts w:ascii="Times New Roman" w:eastAsia="Times New Roman" w:hAnsi="Times New Roman" w:cs="Times New Roman"/>
                <w:lang w:val="es-ES" w:eastAsia="es-ES"/>
              </w:rPr>
              <w:t>a</w:t>
            </w:r>
            <w:r w:rsidRPr="00652F48">
              <w:rPr>
                <w:rFonts w:ascii="Times New Roman" w:eastAsia="Times New Roman" w:hAnsi="Times New Roman" w:cs="Times New Roman"/>
                <w:lang w:val="es-ES" w:eastAsia="es-ES"/>
              </w:rPr>
              <w:t>s l</w:t>
            </w:r>
            <w:r w:rsidR="001339AE" w:rsidRPr="00652F48">
              <w:rPr>
                <w:rFonts w:ascii="Times New Roman" w:eastAsia="Times New Roman" w:hAnsi="Times New Roman" w:cs="Times New Roman"/>
                <w:lang w:val="es-ES" w:eastAsia="es-ES"/>
              </w:rPr>
              <w:t>a</w:t>
            </w:r>
            <w:r w:rsidRPr="00652F48">
              <w:rPr>
                <w:rFonts w:ascii="Times New Roman" w:eastAsia="Times New Roman" w:hAnsi="Times New Roman" w:cs="Times New Roman"/>
                <w:lang w:val="es-ES" w:eastAsia="es-ES"/>
              </w:rPr>
              <w:t xml:space="preserve">s </w:t>
            </w:r>
            <w:r w:rsidR="001339AE" w:rsidRPr="00652F48">
              <w:rPr>
                <w:rFonts w:ascii="Times New Roman" w:eastAsia="Times New Roman" w:hAnsi="Times New Roman" w:cs="Times New Roman"/>
                <w:lang w:val="es-ES" w:eastAsia="es-ES"/>
              </w:rPr>
              <w:t>secciones cruzadas</w:t>
            </w:r>
            <w:r w:rsidRPr="00652F48">
              <w:rPr>
                <w:rFonts w:ascii="Times New Roman" w:eastAsia="Times New Roman" w:hAnsi="Times New Roman" w:cs="Times New Roman"/>
                <w:lang w:val="es-ES" w:eastAsia="es-ES"/>
              </w:rPr>
              <w:t>.</w:t>
            </w:r>
          </w:p>
        </w:tc>
      </w:tr>
      <w:tr w:rsidR="005E49E5" w:rsidRPr="00EE303F" w:rsidTr="00E36D49">
        <w:trPr>
          <w:trHeight w:val="290"/>
          <w:jc w:val="center"/>
        </w:trPr>
        <w:tc>
          <w:tcPr>
            <w:tcW w:w="611" w:type="pct"/>
            <w:tcBorders>
              <w:bottom w:val="single" w:sz="4" w:space="0" w:color="auto"/>
            </w:tcBorders>
            <w:shd w:val="clear" w:color="auto" w:fill="auto"/>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c>
          <w:tcPr>
            <w:tcW w:w="687" w:type="pct"/>
            <w:tcBorders>
              <w:bottom w:val="single" w:sz="4" w:space="0" w:color="auto"/>
            </w:tcBorders>
            <w:vAlign w:val="center"/>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c>
          <w:tcPr>
            <w:tcW w:w="1750" w:type="pct"/>
            <w:tcBorders>
              <w:bottom w:val="single" w:sz="4" w:space="0" w:color="auto"/>
            </w:tcBorders>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i/>
                <w:lang w:val="es-ES" w:eastAsia="es-ES"/>
              </w:rPr>
            </w:pPr>
          </w:p>
        </w:tc>
        <w:tc>
          <w:tcPr>
            <w:tcW w:w="1952" w:type="pct"/>
            <w:tcBorders>
              <w:bottom w:val="single" w:sz="4" w:space="0" w:color="auto"/>
            </w:tcBorders>
            <w:shd w:val="clear" w:color="auto" w:fill="auto"/>
            <w:noWrap/>
            <w:vAlign w:val="center"/>
            <w:hideMark/>
          </w:tcPr>
          <w:p w:rsidR="005E49E5" w:rsidRPr="00652F48" w:rsidRDefault="005E49E5" w:rsidP="00652F48">
            <w:pPr>
              <w:spacing w:line="360" w:lineRule="auto"/>
              <w:jc w:val="center"/>
              <w:rPr>
                <w:rFonts w:ascii="Times New Roman" w:eastAsia="Times New Roman" w:hAnsi="Times New Roman" w:cs="Times New Roman"/>
                <w:lang w:val="es-ES" w:eastAsia="es-ES"/>
              </w:rPr>
            </w:pPr>
          </w:p>
        </w:tc>
      </w:tr>
    </w:tbl>
    <w:p w:rsidR="005E49E5" w:rsidRPr="00652F48" w:rsidRDefault="005E49E5" w:rsidP="00652F48">
      <w:pPr>
        <w:spacing w:line="360" w:lineRule="auto"/>
        <w:jc w:val="both"/>
        <w:rPr>
          <w:rFonts w:ascii="Times New Roman" w:eastAsiaTheme="minorEastAsia" w:hAnsi="Times New Roman" w:cs="Times New Roman"/>
          <w:lang w:val="es-ES"/>
        </w:rPr>
      </w:pPr>
    </w:p>
    <w:p w:rsidR="005E49E5" w:rsidRPr="00652F48" w:rsidRDefault="0012557D"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R</w:t>
      </w:r>
      <w:r w:rsidR="005E49E5" w:rsidRPr="00652F48">
        <w:rPr>
          <w:rFonts w:ascii="Times New Roman" w:hAnsi="Times New Roman" w:cs="Times New Roman"/>
          <w:sz w:val="22"/>
          <w:szCs w:val="22"/>
          <w:lang w:val="es-ES"/>
        </w:rPr>
        <w:t xml:space="preserve">especto del coeficiente de la inflación, el resultado es ambiguo porque “una tasa de inflación más alta representaría un costo más alto de los préstamos, como así también para el consumo de bienes duraderos y no duraderos” (Samad </w:t>
      </w:r>
      <w:r w:rsidR="005E49E5" w:rsidRPr="00652F48">
        <w:rPr>
          <w:rFonts w:ascii="Times New Roman" w:hAnsi="Times New Roman" w:cs="Times New Roman"/>
          <w:i/>
          <w:sz w:val="22"/>
          <w:szCs w:val="22"/>
          <w:lang w:val="es-ES"/>
        </w:rPr>
        <w:t>et al</w:t>
      </w:r>
      <w:r w:rsidR="005E49E5" w:rsidRPr="00652F48">
        <w:rPr>
          <w:rFonts w:ascii="Times New Roman" w:hAnsi="Times New Roman" w:cs="Times New Roman"/>
          <w:sz w:val="22"/>
          <w:szCs w:val="22"/>
          <w:lang w:val="es-ES"/>
        </w:rPr>
        <w:t>., 2020; p. 6).</w:t>
      </w:r>
    </w:p>
    <w:p w:rsidR="00751DB4" w:rsidRPr="00652F48" w:rsidRDefault="00751DB4" w:rsidP="00652F48">
      <w:pPr>
        <w:pStyle w:val="Textoindependiente"/>
        <w:spacing w:line="360" w:lineRule="auto"/>
        <w:ind w:firstLine="708"/>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Al igual que en Domitrescu </w:t>
      </w:r>
      <w:r w:rsidRPr="00652F48">
        <w:rPr>
          <w:rFonts w:ascii="Times New Roman" w:hAnsi="Times New Roman" w:cs="Times New Roman"/>
          <w:i/>
          <w:sz w:val="22"/>
          <w:szCs w:val="22"/>
          <w:lang w:val="es-ES"/>
        </w:rPr>
        <w:t xml:space="preserve">et al. </w:t>
      </w:r>
      <w:r w:rsidR="00785C1B" w:rsidRPr="00652F48">
        <w:rPr>
          <w:rFonts w:ascii="Times New Roman" w:hAnsi="Times New Roman" w:cs="Times New Roman"/>
          <w:sz w:val="22"/>
          <w:szCs w:val="22"/>
          <w:lang w:val="es-ES"/>
        </w:rPr>
        <w:t xml:space="preserve">(2022) se considera </w:t>
      </w:r>
      <w:r w:rsidRPr="00652F48">
        <w:rPr>
          <w:rFonts w:ascii="Times New Roman" w:hAnsi="Times New Roman" w:cs="Times New Roman"/>
          <w:sz w:val="22"/>
          <w:szCs w:val="22"/>
          <w:lang w:val="es-ES"/>
        </w:rPr>
        <w:t xml:space="preserve">una variable ficticia con el propósito de capturar el efecto de la pandemia COVID-19 sobre la deuda de los hogares. Esta variable toma un valor igual a uno para el año 2020 y cero en cualquier otro año. Dado que la estimación se llevará a cabo bajo la modalidad </w:t>
      </w:r>
      <w:r w:rsidRPr="00652F48">
        <w:rPr>
          <w:rFonts w:ascii="Times New Roman" w:hAnsi="Times New Roman" w:cs="Times New Roman"/>
          <w:i/>
          <w:sz w:val="22"/>
          <w:szCs w:val="22"/>
          <w:lang w:val="es-ES"/>
        </w:rPr>
        <w:t xml:space="preserve">one way </w:t>
      </w:r>
      <w:r w:rsidRPr="00652F48">
        <w:rPr>
          <w:rFonts w:ascii="Times New Roman" w:hAnsi="Times New Roman" w:cs="Times New Roman"/>
          <w:sz w:val="22"/>
          <w:szCs w:val="22"/>
          <w:lang w:val="es-ES"/>
        </w:rPr>
        <w:t>(</w:t>
      </w:r>
      <w:r w:rsidR="00785C1B" w:rsidRPr="00652F48">
        <w:rPr>
          <w:rFonts w:ascii="Times New Roman" w:hAnsi="Times New Roman" w:cs="Times New Roman"/>
          <w:sz w:val="22"/>
          <w:szCs w:val="22"/>
          <w:lang w:val="es-ES"/>
        </w:rPr>
        <w:t xml:space="preserve">esto es, </w:t>
      </w:r>
      <w:r w:rsidRPr="00652F48">
        <w:rPr>
          <w:rFonts w:ascii="Times New Roman" w:hAnsi="Times New Roman" w:cs="Times New Roman"/>
          <w:sz w:val="22"/>
          <w:szCs w:val="22"/>
          <w:lang w:val="es-ES"/>
        </w:rPr>
        <w:t xml:space="preserve">efectos sobre las secciones cruzadas) y </w:t>
      </w:r>
      <w:r w:rsidRPr="00652F48">
        <w:rPr>
          <w:rFonts w:ascii="Times New Roman" w:hAnsi="Times New Roman" w:cs="Times New Roman"/>
          <w:i/>
          <w:sz w:val="22"/>
          <w:szCs w:val="22"/>
          <w:lang w:val="es-ES"/>
        </w:rPr>
        <w:t>two way</w:t>
      </w:r>
      <w:r w:rsidRPr="00652F48">
        <w:rPr>
          <w:rFonts w:ascii="Times New Roman" w:hAnsi="Times New Roman" w:cs="Times New Roman"/>
          <w:sz w:val="22"/>
          <w:szCs w:val="22"/>
          <w:lang w:val="es-ES"/>
        </w:rPr>
        <w:t xml:space="preserve"> (efectos sobre las secciones cruzadas y el período temporal), la variable ficticia sólo podrá ser computada en la variante </w:t>
      </w:r>
      <w:r w:rsidRPr="00652F48">
        <w:rPr>
          <w:rFonts w:ascii="Times New Roman" w:hAnsi="Times New Roman" w:cs="Times New Roman"/>
          <w:i/>
          <w:sz w:val="22"/>
          <w:szCs w:val="22"/>
          <w:lang w:val="es-ES"/>
        </w:rPr>
        <w:t>one way</w:t>
      </w:r>
      <w:r w:rsidRPr="00652F48">
        <w:rPr>
          <w:rFonts w:ascii="Times New Roman" w:hAnsi="Times New Roman" w:cs="Times New Roman"/>
          <w:sz w:val="22"/>
          <w:szCs w:val="22"/>
          <w:lang w:val="es-ES"/>
        </w:rPr>
        <w:t>, dado que en el otro caso no sería posible obtener la estimación de los coeficientes debido a que se generaría una matriz singular en la ecuación (2).</w:t>
      </w:r>
    </w:p>
    <w:p w:rsidR="00351A13" w:rsidRPr="00652F48" w:rsidRDefault="008617A0" w:rsidP="00652F48">
      <w:pPr>
        <w:pStyle w:val="Textoindependiente"/>
        <w:spacing w:line="360" w:lineRule="auto"/>
        <w:ind w:firstLine="708"/>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Respecto al método de estimación, d</w:t>
      </w:r>
      <w:r w:rsidR="00751DB4" w:rsidRPr="00652F48">
        <w:rPr>
          <w:rFonts w:ascii="Times New Roman" w:hAnsi="Times New Roman" w:cs="Times New Roman"/>
          <w:sz w:val="22"/>
          <w:szCs w:val="22"/>
          <w:lang w:val="es-ES"/>
        </w:rPr>
        <w:t>a</w:t>
      </w:r>
      <w:r w:rsidR="005E49E5" w:rsidRPr="00652F48">
        <w:rPr>
          <w:rFonts w:ascii="Times New Roman" w:hAnsi="Times New Roman" w:cs="Times New Roman"/>
          <w:sz w:val="22"/>
          <w:szCs w:val="22"/>
          <w:lang w:val="es-ES"/>
        </w:rPr>
        <w:t>do que el panel desbalanceado con el que se estimará la ecuación (1) presenta un reducido número de secciones cruzadas (N=10) y menor al número de períodos temporales, se realizará las estimación siguiendo el método de Mínimos Cuadrados con Variables Artificiales –</w:t>
      </w:r>
      <w:proofErr w:type="spellStart"/>
      <w:r w:rsidR="005E49E5" w:rsidRPr="00652F48">
        <w:rPr>
          <w:rFonts w:ascii="Times New Roman" w:hAnsi="Times New Roman" w:cs="Times New Roman"/>
          <w:i/>
          <w:sz w:val="22"/>
          <w:szCs w:val="22"/>
          <w:lang w:val="es-ES"/>
        </w:rPr>
        <w:t>Last</w:t>
      </w:r>
      <w:proofErr w:type="spellEnd"/>
      <w:r w:rsidR="005E49E5" w:rsidRPr="00652F48">
        <w:rPr>
          <w:rFonts w:ascii="Times New Roman" w:hAnsi="Times New Roman" w:cs="Times New Roman"/>
          <w:i/>
          <w:sz w:val="22"/>
          <w:szCs w:val="22"/>
          <w:lang w:val="es-ES"/>
        </w:rPr>
        <w:t xml:space="preserve"> </w:t>
      </w:r>
      <w:proofErr w:type="spellStart"/>
      <w:r w:rsidR="005E49E5" w:rsidRPr="00652F48">
        <w:rPr>
          <w:rFonts w:ascii="Times New Roman" w:hAnsi="Times New Roman" w:cs="Times New Roman"/>
          <w:i/>
          <w:sz w:val="22"/>
          <w:szCs w:val="22"/>
          <w:lang w:val="es-ES"/>
        </w:rPr>
        <w:t>Squares</w:t>
      </w:r>
      <w:proofErr w:type="spellEnd"/>
      <w:r w:rsidR="005E49E5" w:rsidRPr="00652F48">
        <w:rPr>
          <w:rFonts w:ascii="Times New Roman" w:hAnsi="Times New Roman" w:cs="Times New Roman"/>
          <w:i/>
          <w:sz w:val="22"/>
          <w:szCs w:val="22"/>
          <w:lang w:val="es-ES"/>
        </w:rPr>
        <w:t xml:space="preserve"> </w:t>
      </w:r>
      <w:proofErr w:type="spellStart"/>
      <w:r w:rsidR="005E49E5" w:rsidRPr="00652F48">
        <w:rPr>
          <w:rFonts w:ascii="Times New Roman" w:hAnsi="Times New Roman" w:cs="Times New Roman"/>
          <w:i/>
          <w:sz w:val="22"/>
          <w:szCs w:val="22"/>
          <w:lang w:val="es-ES"/>
        </w:rPr>
        <w:t>Dummy</w:t>
      </w:r>
      <w:proofErr w:type="spellEnd"/>
      <w:r w:rsidR="005E49E5" w:rsidRPr="00652F48">
        <w:rPr>
          <w:rFonts w:ascii="Times New Roman" w:hAnsi="Times New Roman" w:cs="Times New Roman"/>
          <w:i/>
          <w:sz w:val="22"/>
          <w:szCs w:val="22"/>
          <w:lang w:val="es-ES"/>
        </w:rPr>
        <w:t xml:space="preserve"> Variables</w:t>
      </w:r>
      <w:r w:rsidR="005E49E5" w:rsidRPr="00652F48">
        <w:rPr>
          <w:rFonts w:ascii="Times New Roman" w:hAnsi="Times New Roman" w:cs="Times New Roman"/>
          <w:sz w:val="22"/>
          <w:szCs w:val="22"/>
          <w:lang w:val="es-ES"/>
        </w:rPr>
        <w:t xml:space="preserve"> (LSDV)-. El Método de Momentos Generalizados – </w:t>
      </w:r>
      <w:r w:rsidR="005E49E5" w:rsidRPr="00652F48">
        <w:rPr>
          <w:rFonts w:ascii="Times New Roman" w:hAnsi="Times New Roman" w:cs="Times New Roman"/>
          <w:i/>
          <w:sz w:val="22"/>
          <w:szCs w:val="22"/>
          <w:lang w:val="es-ES"/>
        </w:rPr>
        <w:t>Generalized Method of Moments</w:t>
      </w:r>
      <w:r w:rsidR="005E49E5" w:rsidRPr="00652F48">
        <w:rPr>
          <w:rFonts w:ascii="Times New Roman" w:hAnsi="Times New Roman" w:cs="Times New Roman"/>
          <w:sz w:val="22"/>
          <w:szCs w:val="22"/>
          <w:lang w:val="es-ES"/>
        </w:rPr>
        <w:t xml:space="preserve"> (GMM) puede resultar apropiado cuando N es grande, pero en general reporta estimaciones sesgadas cuando el panel está confeccionado a partir de un pequeño número de secciones cruzadas (Samad </w:t>
      </w:r>
      <w:r w:rsidR="005E49E5" w:rsidRPr="00652F48">
        <w:rPr>
          <w:rFonts w:ascii="Times New Roman" w:hAnsi="Times New Roman" w:cs="Times New Roman"/>
          <w:i/>
          <w:sz w:val="22"/>
          <w:szCs w:val="22"/>
          <w:lang w:val="es-ES"/>
        </w:rPr>
        <w:t>et al</w:t>
      </w:r>
      <w:r w:rsidR="005E49E5" w:rsidRPr="00652F48">
        <w:rPr>
          <w:rFonts w:ascii="Times New Roman" w:hAnsi="Times New Roman" w:cs="Times New Roman"/>
          <w:sz w:val="22"/>
          <w:szCs w:val="22"/>
          <w:lang w:val="es-ES"/>
        </w:rPr>
        <w:t xml:space="preserve">., 2020; </w:t>
      </w:r>
      <w:proofErr w:type="spellStart"/>
      <w:r w:rsidR="005E49E5" w:rsidRPr="00652F48">
        <w:rPr>
          <w:rFonts w:ascii="Times New Roman" w:hAnsi="Times New Roman" w:cs="Times New Roman"/>
          <w:sz w:val="22"/>
          <w:szCs w:val="22"/>
          <w:lang w:val="es-ES"/>
        </w:rPr>
        <w:t>Okeke</w:t>
      </w:r>
      <w:proofErr w:type="spellEnd"/>
      <w:r w:rsidR="005E49E5" w:rsidRPr="00652F48">
        <w:rPr>
          <w:rFonts w:ascii="Times New Roman" w:hAnsi="Times New Roman" w:cs="Times New Roman"/>
          <w:sz w:val="22"/>
          <w:szCs w:val="22"/>
          <w:lang w:val="es-ES"/>
        </w:rPr>
        <w:t xml:space="preserve"> y </w:t>
      </w:r>
      <w:proofErr w:type="spellStart"/>
      <w:r w:rsidR="005E49E5" w:rsidRPr="00652F48">
        <w:rPr>
          <w:rFonts w:ascii="Times New Roman" w:hAnsi="Times New Roman" w:cs="Times New Roman"/>
          <w:sz w:val="22"/>
          <w:szCs w:val="22"/>
          <w:lang w:val="es-ES"/>
        </w:rPr>
        <w:t>Okeke</w:t>
      </w:r>
      <w:proofErr w:type="spellEnd"/>
      <w:r w:rsidR="005E49E5" w:rsidRPr="00652F48">
        <w:rPr>
          <w:rFonts w:ascii="Times New Roman" w:hAnsi="Times New Roman" w:cs="Times New Roman"/>
          <w:sz w:val="22"/>
          <w:szCs w:val="22"/>
          <w:lang w:val="es-ES"/>
        </w:rPr>
        <w:t>, 2016; Bruno, 2005). Entre las ventajas del modelo LSDV, se destaca la no correlación entre los efectos fijos individuales y los regresores, algo que se encuentra garantizado por la construcción teórica del modelo.</w:t>
      </w:r>
    </w:p>
    <w:p w:rsidR="005E49E5" w:rsidRPr="00652F48" w:rsidRDefault="005E49E5" w:rsidP="00652F48">
      <w:pPr>
        <w:pStyle w:val="Textoindependiente"/>
        <w:spacing w:after="240" w:line="360" w:lineRule="auto"/>
        <w:ind w:firstLine="708"/>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El estimador LSDV puede calcularse como sigue:</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p>
    <w:p w:rsidR="005E49E5" w:rsidRPr="00652F48" w:rsidRDefault="00917D4F" w:rsidP="00652F48">
      <w:pPr>
        <w:pStyle w:val="Textoindependiente"/>
        <w:spacing w:line="360" w:lineRule="auto"/>
        <w:jc w:val="right"/>
        <w:rPr>
          <w:rFonts w:ascii="Times New Roman" w:hAnsi="Times New Roman" w:cs="Times New Roman"/>
          <w:sz w:val="22"/>
          <w:szCs w:val="22"/>
          <w:lang w:val="es-ES"/>
        </w:rPr>
      </w:pPr>
      <m:oMath>
        <m:sSub>
          <m:sSubPr>
            <m:ctrlPr>
              <w:rPr>
                <w:rFonts w:ascii="Cambria Math" w:hAnsi="Times New Roman" w:cs="Times New Roman"/>
                <w:b/>
                <w:i/>
                <w:sz w:val="22"/>
                <w:szCs w:val="22"/>
              </w:rPr>
            </m:ctrlPr>
          </m:sSubPr>
          <m:e>
            <m:acc>
              <m:accPr>
                <m:ctrlPr>
                  <w:rPr>
                    <w:rFonts w:ascii="Cambria Math" w:hAnsi="Times New Roman" w:cs="Times New Roman"/>
                    <w:b/>
                    <w:i/>
                    <w:sz w:val="22"/>
                    <w:szCs w:val="22"/>
                  </w:rPr>
                </m:ctrlPr>
              </m:accPr>
              <m:e>
                <m:r>
                  <m:rPr>
                    <m:sty m:val="bi"/>
                  </m:rPr>
                  <w:rPr>
                    <w:rFonts w:ascii="Cambria Math" w:hAnsi="Cambria Math" w:cs="Times New Roman"/>
                    <w:sz w:val="22"/>
                    <w:szCs w:val="22"/>
                  </w:rPr>
                  <m:t>β</m:t>
                </m:r>
              </m:e>
            </m:acc>
          </m:e>
          <m:sub>
            <m:r>
              <m:rPr>
                <m:sty m:val="bi"/>
              </m:rPr>
              <w:rPr>
                <w:rFonts w:ascii="Cambria Math" w:hAnsi="Cambria Math" w:cs="Times New Roman"/>
                <w:sz w:val="22"/>
                <w:szCs w:val="22"/>
              </w:rPr>
              <m:t>LSDV</m:t>
            </m:r>
          </m:sub>
        </m:sSub>
        <m:r>
          <w:rPr>
            <w:rFonts w:ascii="Cambria Math" w:hAnsi="Times New Roman" w:cs="Times New Roman"/>
            <w:sz w:val="22"/>
            <w:szCs w:val="22"/>
            <w:lang w:val="es-ES"/>
          </w:rPr>
          <m:t>=(</m:t>
        </m:r>
        <m:sSup>
          <m:sSupPr>
            <m:ctrlPr>
              <w:rPr>
                <w:rFonts w:ascii="Cambria Math" w:hAnsi="Times New Roman" w:cs="Times New Roman"/>
                <w:b/>
                <w:i/>
                <w:sz w:val="22"/>
                <w:szCs w:val="22"/>
              </w:rPr>
            </m:ctrlPr>
          </m:sSupPr>
          <m:e>
            <m:r>
              <m:rPr>
                <m:sty m:val="bi"/>
              </m:rPr>
              <w:rPr>
                <w:rFonts w:ascii="Cambria Math" w:hAnsi="Cambria Math" w:cs="Times New Roman"/>
                <w:sz w:val="22"/>
                <w:szCs w:val="22"/>
              </w:rPr>
              <m:t>X</m:t>
            </m:r>
            <m:r>
              <m:rPr>
                <m:sty m:val="bi"/>
              </m:rPr>
              <w:rPr>
                <w:rFonts w:ascii="Times New Roman" w:hAnsi="Times New Roman" w:cs="Times New Roman"/>
                <w:sz w:val="22"/>
                <w:szCs w:val="22"/>
                <w:lang w:val="es-ES"/>
              </w:rPr>
              <m:t>´</m:t>
            </m:r>
            <m:sSub>
              <m:sSubPr>
                <m:ctrlPr>
                  <w:rPr>
                    <w:rFonts w:ascii="Cambria Math" w:hAnsi="Times New Roman" w:cs="Times New Roman"/>
                    <w:b/>
                    <w:i/>
                    <w:sz w:val="22"/>
                    <w:szCs w:val="22"/>
                  </w:rPr>
                </m:ctrlPr>
              </m:sSubPr>
              <m:e>
                <m:r>
                  <m:rPr>
                    <m:sty m:val="bi"/>
                  </m:rPr>
                  <w:rPr>
                    <w:rFonts w:ascii="Cambria Math" w:hAnsi="Cambria Math" w:cs="Times New Roman"/>
                    <w:sz w:val="22"/>
                    <w:szCs w:val="22"/>
                  </w:rPr>
                  <m:t>M</m:t>
                </m:r>
              </m:e>
              <m:sub>
                <m:r>
                  <m:rPr>
                    <m:sty m:val="bi"/>
                  </m:rPr>
                  <w:rPr>
                    <w:rFonts w:ascii="Cambria Math" w:hAnsi="Cambria Math" w:cs="Times New Roman"/>
                    <w:sz w:val="22"/>
                    <w:szCs w:val="22"/>
                  </w:rPr>
                  <m:t>d</m:t>
                </m:r>
              </m:sub>
            </m:sSub>
            <m:r>
              <m:rPr>
                <m:sty m:val="bi"/>
              </m:rPr>
              <w:rPr>
                <w:rFonts w:ascii="Cambria Math" w:hAnsi="Cambria Math" w:cs="Times New Roman"/>
                <w:sz w:val="22"/>
                <w:szCs w:val="22"/>
              </w:rPr>
              <m:t>X</m:t>
            </m:r>
            <m:r>
              <w:rPr>
                <w:rFonts w:ascii="Cambria Math" w:hAnsi="Times New Roman" w:cs="Times New Roman"/>
                <w:sz w:val="22"/>
                <w:szCs w:val="22"/>
                <w:lang w:val="es-ES"/>
              </w:rPr>
              <m:t>)</m:t>
            </m:r>
          </m:e>
          <m:sup>
            <m:r>
              <w:rPr>
                <w:rFonts w:ascii="Times New Roman" w:hAnsi="Times New Roman" w:cs="Times New Roman"/>
                <w:sz w:val="22"/>
                <w:szCs w:val="22"/>
                <w:lang w:val="es-ES"/>
              </w:rPr>
              <m:t>-</m:t>
            </m:r>
            <m:r>
              <w:rPr>
                <w:rFonts w:ascii="Cambria Math" w:hAnsi="Times New Roman" w:cs="Times New Roman"/>
                <w:sz w:val="22"/>
                <w:szCs w:val="22"/>
                <w:lang w:val="es-ES"/>
              </w:rPr>
              <m:t>1</m:t>
            </m:r>
          </m:sup>
        </m:sSup>
        <m:r>
          <m:rPr>
            <m:sty m:val="bi"/>
          </m:rPr>
          <w:rPr>
            <w:rFonts w:ascii="Cambria Math" w:hAnsi="Cambria Math" w:cs="Times New Roman"/>
            <w:sz w:val="22"/>
            <w:szCs w:val="22"/>
          </w:rPr>
          <m:t>X</m:t>
        </m:r>
        <m:r>
          <m:rPr>
            <m:sty m:val="bi"/>
          </m:rPr>
          <w:rPr>
            <w:rFonts w:ascii="Times New Roman" w:hAnsi="Times New Roman" w:cs="Times New Roman"/>
            <w:sz w:val="22"/>
            <w:szCs w:val="22"/>
            <w:lang w:val="es-ES"/>
          </w:rPr>
          <m:t>´</m:t>
        </m:r>
        <m:sSub>
          <m:sSubPr>
            <m:ctrlPr>
              <w:rPr>
                <w:rFonts w:ascii="Cambria Math" w:hAnsi="Times New Roman" w:cs="Times New Roman"/>
                <w:b/>
                <w:i/>
                <w:sz w:val="22"/>
                <w:szCs w:val="22"/>
              </w:rPr>
            </m:ctrlPr>
          </m:sSubPr>
          <m:e>
            <m:r>
              <m:rPr>
                <m:sty m:val="bi"/>
              </m:rPr>
              <w:rPr>
                <w:rFonts w:ascii="Cambria Math" w:hAnsi="Cambria Math" w:cs="Times New Roman"/>
                <w:sz w:val="22"/>
                <w:szCs w:val="22"/>
              </w:rPr>
              <m:t>M</m:t>
            </m:r>
          </m:e>
          <m:sub>
            <m:r>
              <m:rPr>
                <m:sty m:val="bi"/>
              </m:rPr>
              <w:rPr>
                <w:rFonts w:ascii="Cambria Math" w:hAnsi="Cambria Math" w:cs="Times New Roman"/>
                <w:sz w:val="22"/>
                <w:szCs w:val="22"/>
              </w:rPr>
              <m:t>d</m:t>
            </m:r>
          </m:sub>
        </m:sSub>
        <m:r>
          <m:rPr>
            <m:sty m:val="bi"/>
          </m:rPr>
          <w:rPr>
            <w:rFonts w:ascii="Cambria Math" w:hAnsi="Cambria Math" w:cs="Times New Roman"/>
            <w:sz w:val="22"/>
            <w:szCs w:val="22"/>
          </w:rPr>
          <m:t>Y</m:t>
        </m:r>
      </m:oMath>
      <w:r w:rsidR="005E49E5" w:rsidRPr="00652F48">
        <w:rPr>
          <w:rFonts w:ascii="Times New Roman" w:hAnsi="Times New Roman" w:cs="Times New Roman"/>
          <w:sz w:val="22"/>
          <w:szCs w:val="22"/>
          <w:lang w:val="es-ES"/>
        </w:rPr>
        <w:t xml:space="preserve">                                                     (2)</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roofErr w:type="gramStart"/>
      <w:r w:rsidRPr="00652F48">
        <w:rPr>
          <w:rFonts w:ascii="Times New Roman" w:hAnsi="Times New Roman" w:cs="Times New Roman"/>
          <w:sz w:val="22"/>
          <w:szCs w:val="22"/>
          <w:lang w:val="es-ES"/>
        </w:rPr>
        <w:t>siendo</w:t>
      </w:r>
      <w:proofErr w:type="gramEnd"/>
      <w:r w:rsidRPr="00652F48">
        <w:rPr>
          <w:rFonts w:ascii="Times New Roman" w:hAnsi="Times New Roman" w:cs="Times New Roman"/>
          <w:sz w:val="22"/>
          <w:szCs w:val="22"/>
          <w:lang w:val="es-ES"/>
        </w:rPr>
        <w:t xml:space="preserve"> </w:t>
      </w:r>
      <w:r w:rsidRPr="00652F48">
        <w:rPr>
          <w:rFonts w:ascii="Times New Roman" w:hAnsi="Times New Roman" w:cs="Times New Roman"/>
          <w:b/>
          <w:sz w:val="22"/>
          <w:szCs w:val="22"/>
          <w:lang w:val="es-ES"/>
        </w:rPr>
        <w:t>M</w:t>
      </w:r>
      <w:r w:rsidRPr="00652F48">
        <w:rPr>
          <w:rFonts w:ascii="Times New Roman" w:hAnsi="Times New Roman" w:cs="Times New Roman"/>
          <w:b/>
          <w:sz w:val="22"/>
          <w:szCs w:val="22"/>
          <w:vertAlign w:val="subscript"/>
          <w:lang w:val="es-ES"/>
        </w:rPr>
        <w:t>d</w:t>
      </w:r>
      <w:r w:rsidRPr="00652F48">
        <w:rPr>
          <w:rFonts w:ascii="Times New Roman" w:hAnsi="Times New Roman" w:cs="Times New Roman"/>
          <w:sz w:val="22"/>
          <w:szCs w:val="22"/>
          <w:lang w:val="es-ES"/>
        </w:rPr>
        <w:t xml:space="preserve">: </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
    <w:p w:rsidR="005E49E5" w:rsidRPr="00652F48" w:rsidRDefault="00917D4F" w:rsidP="00652F48">
      <w:pPr>
        <w:pStyle w:val="Textoindependiente"/>
        <w:spacing w:line="360" w:lineRule="auto"/>
        <w:jc w:val="right"/>
        <w:rPr>
          <w:rFonts w:ascii="Times New Roman" w:hAnsi="Times New Roman" w:cs="Times New Roman"/>
          <w:sz w:val="22"/>
          <w:szCs w:val="22"/>
          <w:lang w:val="es-ES"/>
        </w:rPr>
      </w:pPr>
      <m:oMath>
        <m:sSub>
          <m:sSubPr>
            <m:ctrlPr>
              <w:rPr>
                <w:rFonts w:ascii="Cambria Math" w:hAnsi="Times New Roman" w:cs="Times New Roman"/>
                <w:b/>
                <w:i/>
                <w:sz w:val="22"/>
                <w:szCs w:val="22"/>
              </w:rPr>
            </m:ctrlPr>
          </m:sSubPr>
          <m:e>
            <m:r>
              <m:rPr>
                <m:sty m:val="bi"/>
              </m:rPr>
              <w:rPr>
                <w:rFonts w:ascii="Cambria Math" w:hAnsi="Cambria Math" w:cs="Times New Roman"/>
                <w:sz w:val="22"/>
                <w:szCs w:val="22"/>
              </w:rPr>
              <m:t>M</m:t>
            </m:r>
          </m:e>
          <m:sub>
            <m:r>
              <m:rPr>
                <m:sty m:val="bi"/>
              </m:rPr>
              <w:rPr>
                <w:rFonts w:ascii="Cambria Math" w:hAnsi="Cambria Math" w:cs="Times New Roman"/>
                <w:sz w:val="22"/>
                <w:szCs w:val="22"/>
              </w:rPr>
              <m:t>d</m:t>
            </m:r>
          </m:sub>
        </m:sSub>
        <m:r>
          <m:rPr>
            <m:sty m:val="bi"/>
          </m:rPr>
          <w:rPr>
            <w:rFonts w:ascii="Cambria Math" w:hAnsi="Times New Roman" w:cs="Times New Roman"/>
            <w:sz w:val="22"/>
            <w:szCs w:val="22"/>
            <w:lang w:val="es-ES"/>
          </w:rPr>
          <m:t>=</m:t>
        </m:r>
        <m:r>
          <m:rPr>
            <m:sty m:val="bi"/>
          </m:rPr>
          <w:rPr>
            <w:rFonts w:ascii="Cambria Math" w:hAnsi="Cambria Math" w:cs="Times New Roman"/>
            <w:sz w:val="22"/>
            <w:szCs w:val="22"/>
          </w:rPr>
          <m:t>I</m:t>
        </m:r>
        <m:r>
          <m:rPr>
            <m:sty m:val="bi"/>
          </m:rPr>
          <w:rPr>
            <w:rFonts w:ascii="Times New Roman" w:hAnsi="Times New Roman" w:cs="Times New Roman"/>
            <w:sz w:val="22"/>
            <w:szCs w:val="22"/>
            <w:lang w:val="es-ES"/>
          </w:rPr>
          <m:t>-</m:t>
        </m:r>
        <m:r>
          <m:rPr>
            <m:sty m:val="bi"/>
          </m:rPr>
          <w:rPr>
            <w:rFonts w:ascii="Cambria Math" w:hAnsi="Cambria Math" w:cs="Times New Roman"/>
            <w:sz w:val="22"/>
            <w:szCs w:val="22"/>
          </w:rPr>
          <m:t>D</m:t>
        </m:r>
        <m:r>
          <m:rPr>
            <m:sty m:val="bi"/>
          </m:rPr>
          <w:rPr>
            <w:rFonts w:ascii="Cambria Math" w:hAnsi="Times New Roman" w:cs="Times New Roman"/>
            <w:sz w:val="22"/>
            <w:szCs w:val="22"/>
            <w:lang w:val="es-ES"/>
          </w:rPr>
          <m:t>(</m:t>
        </m:r>
        <m:r>
          <m:rPr>
            <m:sty m:val="bi"/>
          </m:rPr>
          <w:rPr>
            <w:rFonts w:ascii="Cambria Math" w:hAnsi="Cambria Math" w:cs="Times New Roman"/>
            <w:sz w:val="22"/>
            <w:szCs w:val="22"/>
          </w:rPr>
          <m:t>D</m:t>
        </m:r>
        <m:r>
          <m:rPr>
            <m:sty m:val="bi"/>
          </m:rPr>
          <w:rPr>
            <w:rFonts w:ascii="Cambria Math" w:hAnsi="Times New Roman" w:cs="Times New Roman"/>
            <w:sz w:val="22"/>
            <w:szCs w:val="22"/>
            <w:lang w:val="es-ES"/>
          </w:rPr>
          <m:t>´</m:t>
        </m:r>
        <m:sSup>
          <m:sSupPr>
            <m:ctrlPr>
              <w:rPr>
                <w:rFonts w:ascii="Cambria Math" w:hAnsi="Times New Roman" w:cs="Times New Roman"/>
                <w:b/>
                <w:i/>
                <w:sz w:val="22"/>
                <w:szCs w:val="22"/>
              </w:rPr>
            </m:ctrlPr>
          </m:sSupPr>
          <m:e>
            <m:r>
              <m:rPr>
                <m:sty m:val="bi"/>
              </m:rPr>
              <w:rPr>
                <w:rFonts w:ascii="Cambria Math" w:hAnsi="Cambria Math" w:cs="Times New Roman"/>
                <w:sz w:val="22"/>
                <w:szCs w:val="22"/>
              </w:rPr>
              <m:t>D</m:t>
            </m:r>
            <m:r>
              <m:rPr>
                <m:sty m:val="bi"/>
              </m:rPr>
              <w:rPr>
                <w:rFonts w:ascii="Cambria Math" w:hAnsi="Times New Roman" w:cs="Times New Roman"/>
                <w:sz w:val="22"/>
                <w:szCs w:val="22"/>
                <w:lang w:val="es-ES"/>
              </w:rPr>
              <m:t>)</m:t>
            </m:r>
          </m:e>
          <m:sup>
            <m:r>
              <m:rPr>
                <m:sty m:val="bi"/>
              </m:rPr>
              <w:rPr>
                <w:rFonts w:ascii="Times New Roman" w:hAnsi="Times New Roman" w:cs="Times New Roman"/>
                <w:sz w:val="22"/>
                <w:szCs w:val="22"/>
                <w:lang w:val="es-ES"/>
              </w:rPr>
              <m:t>-</m:t>
            </m:r>
            <m:r>
              <m:rPr>
                <m:sty m:val="bi"/>
              </m:rPr>
              <w:rPr>
                <w:rFonts w:ascii="Cambria Math" w:hAnsi="Cambria Math" w:cs="Times New Roman"/>
                <w:sz w:val="22"/>
                <w:szCs w:val="22"/>
              </w:rPr>
              <m:t>1</m:t>
            </m:r>
          </m:sup>
        </m:sSup>
        <m:r>
          <m:rPr>
            <m:sty m:val="bi"/>
          </m:rPr>
          <w:rPr>
            <w:rFonts w:ascii="Cambria Math" w:hAnsi="Cambria Math" w:cs="Times New Roman"/>
            <w:sz w:val="22"/>
            <w:szCs w:val="22"/>
          </w:rPr>
          <m:t>D</m:t>
        </m:r>
        <m:r>
          <m:rPr>
            <m:sty m:val="bi"/>
          </m:rPr>
          <w:rPr>
            <w:rFonts w:ascii="Cambria Math" w:hAnsi="Times New Roman" w:cs="Times New Roman"/>
            <w:sz w:val="22"/>
            <w:szCs w:val="22"/>
            <w:lang w:val="es-ES"/>
          </w:rPr>
          <m:t>´</m:t>
        </m:r>
        <m:r>
          <m:rPr>
            <m:sty m:val="bi"/>
          </m:rPr>
          <w:rPr>
            <w:rFonts w:ascii="Cambria Math" w:hAnsi="Times New Roman" w:cs="Times New Roman"/>
            <w:sz w:val="22"/>
            <w:szCs w:val="22"/>
            <w:lang w:val="es-ES"/>
          </w:rPr>
          <m:t xml:space="preserve">     </m:t>
        </m:r>
      </m:oMath>
      <w:r w:rsidR="005E49E5" w:rsidRPr="00652F48">
        <w:rPr>
          <w:rFonts w:ascii="Times New Roman" w:hAnsi="Times New Roman" w:cs="Times New Roman"/>
          <w:sz w:val="22"/>
          <w:szCs w:val="22"/>
          <w:lang w:val="es-ES"/>
        </w:rPr>
        <w:t xml:space="preserve">                                                    (3)</w:t>
      </w:r>
    </w:p>
    <w:p w:rsidR="005E49E5" w:rsidRPr="00652F48" w:rsidRDefault="005E49E5" w:rsidP="00652F48">
      <w:pPr>
        <w:pStyle w:val="Textoindependiente"/>
        <w:spacing w:line="360" w:lineRule="auto"/>
        <w:jc w:val="right"/>
        <w:rPr>
          <w:rFonts w:ascii="Times New Roman" w:hAnsi="Times New Roman" w:cs="Times New Roman"/>
          <w:sz w:val="22"/>
          <w:szCs w:val="22"/>
          <w:lang w:val="es-ES"/>
        </w:rPr>
      </w:pP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roofErr w:type="gramStart"/>
      <w:r w:rsidRPr="00652F48">
        <w:rPr>
          <w:rFonts w:ascii="Times New Roman" w:hAnsi="Times New Roman" w:cs="Times New Roman"/>
          <w:sz w:val="22"/>
          <w:szCs w:val="22"/>
          <w:lang w:val="es-ES"/>
        </w:rPr>
        <w:lastRenderedPageBreak/>
        <w:t>donde</w:t>
      </w:r>
      <w:proofErr w:type="gramEnd"/>
      <w:r w:rsidRPr="00652F48">
        <w:rPr>
          <w:rFonts w:ascii="Times New Roman" w:hAnsi="Times New Roman" w:cs="Times New Roman"/>
          <w:sz w:val="22"/>
          <w:szCs w:val="22"/>
          <w:lang w:val="es-ES"/>
        </w:rPr>
        <w:t xml:space="preserve"> </w:t>
      </w:r>
      <w:r w:rsidRPr="00652F48">
        <w:rPr>
          <w:rFonts w:ascii="Times New Roman" w:hAnsi="Times New Roman" w:cs="Times New Roman"/>
          <w:b/>
          <w:sz w:val="22"/>
          <w:szCs w:val="22"/>
          <w:lang w:val="es-ES"/>
        </w:rPr>
        <w:t>D</w:t>
      </w:r>
      <w:r w:rsidRPr="00652F48">
        <w:rPr>
          <w:rFonts w:ascii="Times New Roman" w:hAnsi="Times New Roman" w:cs="Times New Roman"/>
          <w:sz w:val="22"/>
          <w:szCs w:val="22"/>
          <w:lang w:val="es-ES"/>
        </w:rPr>
        <w:t xml:space="preserve"> es una matriz de orden </w:t>
      </w:r>
      <w:proofErr w:type="spellStart"/>
      <w:r w:rsidRPr="00652F48">
        <w:rPr>
          <w:rFonts w:ascii="Times New Roman" w:hAnsi="Times New Roman" w:cs="Times New Roman"/>
          <w:sz w:val="22"/>
          <w:szCs w:val="22"/>
          <w:lang w:val="es-ES"/>
        </w:rPr>
        <w:t>NTxN</w:t>
      </w:r>
      <w:proofErr w:type="spellEnd"/>
      <w:r w:rsidRPr="00652F48">
        <w:rPr>
          <w:rFonts w:ascii="Times New Roman" w:hAnsi="Times New Roman" w:cs="Times New Roman"/>
          <w:sz w:val="22"/>
          <w:szCs w:val="22"/>
          <w:lang w:val="es-ES"/>
        </w:rPr>
        <w:t xml:space="preserve"> como la siguiente: </w:t>
      </w:r>
    </w:p>
    <w:p w:rsidR="005E49E5" w:rsidRPr="00652F48" w:rsidRDefault="005E49E5" w:rsidP="00652F48">
      <w:pPr>
        <w:pStyle w:val="Textoindependiente"/>
        <w:spacing w:line="360" w:lineRule="auto"/>
        <w:jc w:val="right"/>
        <w:rPr>
          <w:rFonts w:ascii="Times New Roman" w:hAnsi="Times New Roman" w:cs="Times New Roman"/>
          <w:sz w:val="22"/>
          <w:szCs w:val="22"/>
          <w:lang w:val="es-ES"/>
        </w:rPr>
      </w:pPr>
      <w:r w:rsidRPr="00652F48">
        <w:rPr>
          <w:rFonts w:ascii="Times New Roman" w:eastAsiaTheme="minorEastAsia" w:hAnsi="Times New Roman" w:cs="Times New Roman"/>
          <w:b/>
          <w:sz w:val="22"/>
          <w:szCs w:val="22"/>
          <w:lang w:val="es-ES"/>
        </w:rPr>
        <w:t>D=</w:t>
      </w:r>
      <m:oMath>
        <m:d>
          <m:dPr>
            <m:begChr m:val="["/>
            <m:endChr m:val="]"/>
            <m:ctrlPr>
              <w:rPr>
                <w:rFonts w:ascii="Cambria Math" w:hAnsi="Times New Roman" w:cs="Times New Roman"/>
                <w:b/>
                <w:i/>
                <w:sz w:val="22"/>
                <w:szCs w:val="22"/>
              </w:rPr>
            </m:ctrlPr>
          </m:dPr>
          <m:e>
            <m:m>
              <m:mPr>
                <m:mcs>
                  <m:mc>
                    <m:mcPr>
                      <m:count m:val="3"/>
                      <m:mcJc m:val="center"/>
                    </m:mcPr>
                  </m:mc>
                </m:mcs>
                <m:ctrlPr>
                  <w:rPr>
                    <w:rFonts w:ascii="Cambria Math" w:hAnsi="Times New Roman" w:cs="Times New Roman"/>
                    <w:b/>
                    <w:i/>
                    <w:sz w:val="22"/>
                    <w:szCs w:val="22"/>
                  </w:rPr>
                </m:ctrlPr>
              </m:mPr>
              <m:mr>
                <m:e>
                  <m:r>
                    <m:rPr>
                      <m:sty m:val="bi"/>
                    </m:rPr>
                    <w:rPr>
                      <w:rFonts w:ascii="Cambria Math" w:hAnsi="Cambria Math" w:cs="Times New Roman"/>
                      <w:sz w:val="22"/>
                      <w:szCs w:val="22"/>
                    </w:rPr>
                    <m:t>i</m:t>
                  </m:r>
                </m:e>
                <m:e>
                  <m:r>
                    <m:rPr>
                      <m:sty m:val="bi"/>
                    </m:rPr>
                    <w:rPr>
                      <w:rFonts w:ascii="Cambria Math" w:hAnsi="Cambria Math" w:cs="Times New Roman"/>
                      <w:sz w:val="22"/>
                      <w:szCs w:val="22"/>
                    </w:rPr>
                    <m:t>0</m:t>
                  </m:r>
                </m:e>
                <m:e>
                  <m:m>
                    <m:mPr>
                      <m:mcs>
                        <m:mc>
                          <m:mcPr>
                            <m:count m:val="2"/>
                            <m:mcJc m:val="center"/>
                          </m:mcPr>
                        </m:mc>
                      </m:mcs>
                      <m:ctrlPr>
                        <w:rPr>
                          <w:rFonts w:ascii="Cambria Math" w:hAnsi="Times New Roman" w:cs="Times New Roman"/>
                          <w:b/>
                          <w:i/>
                          <w:sz w:val="22"/>
                          <w:szCs w:val="22"/>
                        </w:rPr>
                      </m:ctrlPr>
                    </m:mPr>
                    <m:mr>
                      <m:e>
                        <m:r>
                          <m:rPr>
                            <m:sty m:val="bi"/>
                          </m:rPr>
                          <w:rPr>
                            <w:rFonts w:ascii="Times New Roman" w:hAnsi="Times New Roman" w:cs="Times New Roman"/>
                            <w:sz w:val="22"/>
                            <w:szCs w:val="22"/>
                            <w:lang w:val="es-ES"/>
                          </w:rPr>
                          <m:t>…</m:t>
                        </m:r>
                      </m:e>
                      <m:e>
                        <m:r>
                          <m:rPr>
                            <m:sty m:val="bi"/>
                          </m:rPr>
                          <w:rPr>
                            <w:rFonts w:ascii="Cambria Math" w:hAnsi="Cambria Math" w:cs="Times New Roman"/>
                            <w:sz w:val="22"/>
                            <w:szCs w:val="22"/>
                          </w:rPr>
                          <m:t>0</m:t>
                        </m:r>
                      </m:e>
                    </m:mr>
                  </m:m>
                </m:e>
              </m:mr>
              <m:mr>
                <m:e>
                  <m:r>
                    <m:rPr>
                      <m:sty m:val="bi"/>
                    </m:rPr>
                    <w:rPr>
                      <w:rFonts w:ascii="Cambria Math" w:hAnsi="Cambria Math" w:cs="Times New Roman"/>
                      <w:sz w:val="22"/>
                      <w:szCs w:val="22"/>
                    </w:rPr>
                    <m:t>0</m:t>
                  </m:r>
                </m:e>
                <m:e>
                  <m:r>
                    <m:rPr>
                      <m:sty m:val="bi"/>
                    </m:rPr>
                    <w:rPr>
                      <w:rFonts w:ascii="Cambria Math" w:hAnsi="Cambria Math" w:cs="Times New Roman"/>
                      <w:sz w:val="22"/>
                      <w:szCs w:val="22"/>
                    </w:rPr>
                    <m:t>i</m:t>
                  </m:r>
                </m:e>
                <m:e>
                  <m:m>
                    <m:mPr>
                      <m:mcs>
                        <m:mc>
                          <m:mcPr>
                            <m:count m:val="2"/>
                            <m:mcJc m:val="center"/>
                          </m:mcPr>
                        </m:mc>
                      </m:mcs>
                      <m:ctrlPr>
                        <w:rPr>
                          <w:rFonts w:ascii="Cambria Math" w:hAnsi="Times New Roman" w:cs="Times New Roman"/>
                          <w:b/>
                          <w:i/>
                          <w:sz w:val="22"/>
                          <w:szCs w:val="22"/>
                        </w:rPr>
                      </m:ctrlPr>
                    </m:mPr>
                    <m:mr>
                      <m:e>
                        <m:r>
                          <m:rPr>
                            <m:sty m:val="bi"/>
                          </m:rPr>
                          <w:rPr>
                            <w:rFonts w:ascii="Times New Roman" w:hAnsi="Times New Roman" w:cs="Times New Roman"/>
                            <w:sz w:val="22"/>
                            <w:szCs w:val="22"/>
                            <w:lang w:val="es-ES"/>
                          </w:rPr>
                          <m:t>…</m:t>
                        </m:r>
                      </m:e>
                      <m:e>
                        <m:r>
                          <m:rPr>
                            <m:sty m:val="bi"/>
                          </m:rPr>
                          <w:rPr>
                            <w:rFonts w:ascii="Cambria Math" w:hAnsi="Cambria Math" w:cs="Times New Roman"/>
                            <w:sz w:val="22"/>
                            <w:szCs w:val="22"/>
                          </w:rPr>
                          <m:t>0</m:t>
                        </m:r>
                      </m:e>
                    </m:mr>
                  </m:m>
                </m:e>
              </m:mr>
              <m:mr>
                <m:e>
                  <m:m>
                    <m:mPr>
                      <m:mcs>
                        <m:mc>
                          <m:mcPr>
                            <m:count m:val="1"/>
                            <m:mcJc m:val="center"/>
                          </m:mcPr>
                        </m:mc>
                      </m:mcs>
                      <m:ctrlPr>
                        <w:rPr>
                          <w:rFonts w:ascii="Cambria Math" w:hAnsi="Times New Roman" w:cs="Times New Roman"/>
                          <w:b/>
                          <w:i/>
                          <w:sz w:val="22"/>
                          <w:szCs w:val="22"/>
                        </w:rPr>
                      </m:ctrlPr>
                    </m:mPr>
                    <m:mr>
                      <m:e>
                        <m:r>
                          <m:rPr>
                            <m:sty m:val="bi"/>
                          </m:rPr>
                          <w:rPr>
                            <w:rFonts w:ascii="Times New Roman" w:hAnsi="Cambria Math" w:cs="Times New Roman"/>
                            <w:sz w:val="22"/>
                            <w:szCs w:val="22"/>
                            <w:lang w:val="es-ES"/>
                          </w:rPr>
                          <m:t>⋮</m:t>
                        </m:r>
                      </m:e>
                    </m:mr>
                    <m:mr>
                      <m:e>
                        <m:r>
                          <m:rPr>
                            <m:sty m:val="bi"/>
                          </m:rPr>
                          <w:rPr>
                            <w:rFonts w:ascii="Cambria Math" w:hAnsi="Cambria Math" w:cs="Times New Roman"/>
                            <w:sz w:val="22"/>
                            <w:szCs w:val="22"/>
                          </w:rPr>
                          <m:t>0</m:t>
                        </m:r>
                      </m:e>
                    </m:mr>
                  </m:m>
                </m:e>
                <m:e>
                  <m:m>
                    <m:mPr>
                      <m:mcs>
                        <m:mc>
                          <m:mcPr>
                            <m:count m:val="1"/>
                            <m:mcJc m:val="center"/>
                          </m:mcPr>
                        </m:mc>
                      </m:mcs>
                      <m:ctrlPr>
                        <w:rPr>
                          <w:rFonts w:ascii="Cambria Math" w:hAnsi="Times New Roman" w:cs="Times New Roman"/>
                          <w:b/>
                          <w:i/>
                          <w:sz w:val="22"/>
                          <w:szCs w:val="22"/>
                        </w:rPr>
                      </m:ctrlPr>
                    </m:mPr>
                    <m:mr>
                      <m:e>
                        <m:r>
                          <m:rPr>
                            <m:sty m:val="bi"/>
                          </m:rPr>
                          <w:rPr>
                            <w:rFonts w:ascii="Times New Roman" w:hAnsi="Cambria Math" w:cs="Times New Roman"/>
                            <w:sz w:val="22"/>
                            <w:szCs w:val="22"/>
                            <w:lang w:val="es-ES"/>
                          </w:rPr>
                          <m:t>⋮</m:t>
                        </m:r>
                      </m:e>
                    </m:mr>
                    <m:mr>
                      <m:e>
                        <m:r>
                          <m:rPr>
                            <m:sty m:val="bi"/>
                          </m:rPr>
                          <w:rPr>
                            <w:rFonts w:ascii="Cambria Math" w:hAnsi="Cambria Math" w:cs="Times New Roman"/>
                            <w:sz w:val="22"/>
                            <w:szCs w:val="22"/>
                          </w:rPr>
                          <m:t>0</m:t>
                        </m:r>
                      </m:e>
                    </m:mr>
                  </m:m>
                </m:e>
                <m:e>
                  <m:m>
                    <m:mPr>
                      <m:mcs>
                        <m:mc>
                          <m:mcPr>
                            <m:count m:val="1"/>
                            <m:mcJc m:val="center"/>
                          </m:mcPr>
                        </m:mc>
                      </m:mcs>
                      <m:ctrlPr>
                        <w:rPr>
                          <w:rFonts w:ascii="Cambria Math" w:hAnsi="Times New Roman" w:cs="Times New Roman"/>
                          <w:b/>
                          <w:i/>
                          <w:sz w:val="22"/>
                          <w:szCs w:val="22"/>
                        </w:rPr>
                      </m:ctrlPr>
                    </m:mPr>
                    <m:mr>
                      <m:e>
                        <m:m>
                          <m:mPr>
                            <m:mcs>
                              <m:mc>
                                <m:mcPr>
                                  <m:count m:val="2"/>
                                  <m:mcJc m:val="center"/>
                                </m:mcPr>
                              </m:mc>
                            </m:mcs>
                            <m:ctrlPr>
                              <w:rPr>
                                <w:rFonts w:ascii="Cambria Math" w:hAnsi="Times New Roman" w:cs="Times New Roman"/>
                                <w:b/>
                                <w:i/>
                                <w:sz w:val="22"/>
                                <w:szCs w:val="22"/>
                              </w:rPr>
                            </m:ctrlPr>
                          </m:mPr>
                          <m:mr>
                            <m:e>
                              <m:r>
                                <m:rPr>
                                  <m:sty m:val="bi"/>
                                </m:rPr>
                                <w:rPr>
                                  <w:rFonts w:ascii="Times New Roman" w:hAnsi="Cambria Math" w:cs="Times New Roman"/>
                                  <w:sz w:val="22"/>
                                  <w:szCs w:val="22"/>
                                  <w:lang w:val="es-ES"/>
                                </w:rPr>
                                <m:t>⋱</m:t>
                              </m:r>
                            </m:e>
                            <m:e>
                              <m:r>
                                <m:rPr>
                                  <m:sty m:val="bi"/>
                                </m:rPr>
                                <w:rPr>
                                  <w:rFonts w:ascii="Times New Roman" w:hAnsi="Cambria Math" w:cs="Times New Roman"/>
                                  <w:sz w:val="22"/>
                                  <w:szCs w:val="22"/>
                                  <w:lang w:val="es-ES"/>
                                </w:rPr>
                                <m:t>⋮</m:t>
                              </m:r>
                            </m:e>
                          </m:mr>
                        </m:m>
                      </m:e>
                    </m:mr>
                    <m:mr>
                      <m:e>
                        <m:m>
                          <m:mPr>
                            <m:mcs>
                              <m:mc>
                                <m:mcPr>
                                  <m:count m:val="2"/>
                                  <m:mcJc m:val="center"/>
                                </m:mcPr>
                              </m:mc>
                            </m:mcs>
                            <m:ctrlPr>
                              <w:rPr>
                                <w:rFonts w:ascii="Cambria Math" w:hAnsi="Times New Roman" w:cs="Times New Roman"/>
                                <w:b/>
                                <w:i/>
                                <w:sz w:val="22"/>
                                <w:szCs w:val="22"/>
                              </w:rPr>
                            </m:ctrlPr>
                          </m:mPr>
                          <m:mr>
                            <m:e>
                              <m:r>
                                <m:rPr>
                                  <m:sty m:val="bi"/>
                                </m:rPr>
                                <w:rPr>
                                  <w:rFonts w:ascii="Times New Roman" w:hAnsi="Times New Roman" w:cs="Times New Roman"/>
                                  <w:sz w:val="22"/>
                                  <w:szCs w:val="22"/>
                                  <w:lang w:val="es-ES"/>
                                </w:rPr>
                                <m:t>…</m:t>
                              </m:r>
                            </m:e>
                            <m:e>
                              <m:r>
                                <m:rPr>
                                  <m:sty m:val="bi"/>
                                </m:rPr>
                                <w:rPr>
                                  <w:rFonts w:ascii="Cambria Math" w:hAnsi="Cambria Math" w:cs="Times New Roman"/>
                                  <w:sz w:val="22"/>
                                  <w:szCs w:val="22"/>
                                </w:rPr>
                                <m:t>i</m:t>
                              </m:r>
                            </m:e>
                          </m:mr>
                        </m:m>
                      </m:e>
                    </m:mr>
                  </m:m>
                </m:e>
              </m:mr>
            </m:m>
          </m:e>
        </m:d>
      </m:oMath>
      <w:r w:rsidRPr="00652F48">
        <w:rPr>
          <w:rFonts w:ascii="Times New Roman" w:hAnsi="Times New Roman" w:cs="Times New Roman"/>
          <w:sz w:val="22"/>
          <w:szCs w:val="22"/>
          <w:lang w:val="es-ES"/>
        </w:rPr>
        <w:t xml:space="preserve">                                                              (4)</w:t>
      </w:r>
    </w:p>
    <w:p w:rsidR="005E49E5" w:rsidRPr="00652F48" w:rsidRDefault="005E49E5" w:rsidP="00652F48">
      <w:pPr>
        <w:pStyle w:val="Textoindependiente"/>
        <w:spacing w:line="360" w:lineRule="auto"/>
        <w:jc w:val="right"/>
        <w:rPr>
          <w:rFonts w:ascii="Times New Roman" w:hAnsi="Times New Roman" w:cs="Times New Roman"/>
          <w:sz w:val="22"/>
          <w:szCs w:val="22"/>
          <w:lang w:val="es-ES"/>
        </w:rPr>
      </w:pP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La misma contiene N ficticias ordenadas por columnas e </w:t>
      </w:r>
      <w:r w:rsidRPr="00652F48">
        <w:rPr>
          <w:rFonts w:ascii="Times New Roman" w:hAnsi="Times New Roman" w:cs="Times New Roman"/>
          <w:b/>
          <w:sz w:val="22"/>
          <w:szCs w:val="22"/>
          <w:lang w:val="es-ES"/>
        </w:rPr>
        <w:t>i</w:t>
      </w:r>
      <w:r w:rsidRPr="00652F48">
        <w:rPr>
          <w:rFonts w:ascii="Times New Roman" w:hAnsi="Times New Roman" w:cs="Times New Roman"/>
          <w:sz w:val="22"/>
          <w:szCs w:val="22"/>
          <w:lang w:val="es-ES"/>
        </w:rPr>
        <w:t xml:space="preserve"> es un vector columna con T unos.</w:t>
      </w:r>
    </w:p>
    <w:p w:rsidR="0012557D" w:rsidRPr="00652F48" w:rsidRDefault="0012557D" w:rsidP="00652F48">
      <w:pPr>
        <w:pStyle w:val="Textoindependiente"/>
        <w:spacing w:line="360" w:lineRule="auto"/>
        <w:ind w:firstLine="708"/>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Algunos estudios suelen incluir como variable</w:t>
      </w:r>
      <w:r w:rsidR="00751DB4" w:rsidRPr="00652F48">
        <w:rPr>
          <w:rFonts w:ascii="Times New Roman" w:hAnsi="Times New Roman" w:cs="Times New Roman"/>
          <w:sz w:val="22"/>
          <w:szCs w:val="22"/>
          <w:lang w:val="es-ES"/>
        </w:rPr>
        <w:t>s</w:t>
      </w:r>
      <w:r w:rsidRPr="00652F48">
        <w:rPr>
          <w:rFonts w:ascii="Times New Roman" w:hAnsi="Times New Roman" w:cs="Times New Roman"/>
          <w:sz w:val="22"/>
          <w:szCs w:val="22"/>
          <w:lang w:val="es-ES"/>
        </w:rPr>
        <w:t xml:space="preserve"> explicativa</w:t>
      </w:r>
      <w:r w:rsidR="00751DB4" w:rsidRPr="00652F48">
        <w:rPr>
          <w:rFonts w:ascii="Times New Roman" w:hAnsi="Times New Roman" w:cs="Times New Roman"/>
          <w:sz w:val="22"/>
          <w:szCs w:val="22"/>
          <w:lang w:val="es-ES"/>
        </w:rPr>
        <w:t>s</w:t>
      </w:r>
      <w:r w:rsidRPr="00652F48">
        <w:rPr>
          <w:rFonts w:ascii="Times New Roman" w:hAnsi="Times New Roman" w:cs="Times New Roman"/>
          <w:sz w:val="22"/>
          <w:szCs w:val="22"/>
          <w:lang w:val="es-ES"/>
        </w:rPr>
        <w:t xml:space="preserve"> rezagos de la propia variable endógena. En este trabajo se descarta esa posibilidad en virtud de que “si las variables dependientes rezagadas aparecen como variables explicativas, la exogeneidad estricta de los regresores no se cumple, y (…) el estimador intra bajo la especificación de efectos fijos ya no es consistente en el caso de modelos de datos de panel donde el número de unidades de sección transversal, N, es grande y T, el número de períodos de tiempo, es pequeño” (Pesaran, 2015; p. 676). En este contexto, el presente trabajo incluye tanto N como T pequeño por la propia disponibilidad de datos y por el conjunto de países que se pretende analizar, por lo que incorporar rezagos de la variable endógena puede conducir al conocido problema de los parámetros incidentales (Lancaster, 2000).</w:t>
      </w:r>
    </w:p>
    <w:p w:rsidR="005E49E5" w:rsidRPr="00652F48" w:rsidRDefault="005E49E5" w:rsidP="00652F48">
      <w:pPr>
        <w:pStyle w:val="Textoindependiente"/>
        <w:spacing w:line="360" w:lineRule="auto"/>
        <w:jc w:val="both"/>
        <w:rPr>
          <w:rFonts w:ascii="Times New Roman" w:hAnsi="Times New Roman" w:cs="Times New Roman"/>
          <w:sz w:val="22"/>
          <w:szCs w:val="22"/>
          <w:highlight w:val="yellow"/>
          <w:lang w:val="es-ES"/>
        </w:rPr>
      </w:pPr>
    </w:p>
    <w:p w:rsidR="005E49E5" w:rsidRPr="00652F48" w:rsidRDefault="005E49E5" w:rsidP="00652F48">
      <w:pPr>
        <w:pStyle w:val="Textoindependiente"/>
        <w:spacing w:after="240" w:line="360" w:lineRule="auto"/>
        <w:jc w:val="both"/>
        <w:rPr>
          <w:rFonts w:ascii="Times New Roman" w:hAnsi="Times New Roman" w:cs="Times New Roman"/>
          <w:b/>
          <w:sz w:val="22"/>
          <w:szCs w:val="22"/>
          <w:lang w:val="es-ES"/>
        </w:rPr>
      </w:pPr>
      <w:r w:rsidRPr="00652F48">
        <w:rPr>
          <w:rFonts w:ascii="Times New Roman" w:hAnsi="Times New Roman" w:cs="Times New Roman"/>
          <w:b/>
          <w:sz w:val="22"/>
          <w:szCs w:val="22"/>
          <w:lang w:val="es-ES"/>
        </w:rPr>
        <w:t xml:space="preserve">4. Resultados </w:t>
      </w:r>
    </w:p>
    <w:p w:rsidR="005E49E5" w:rsidRPr="00652F48" w:rsidRDefault="005E49E5" w:rsidP="00652F48">
      <w:pPr>
        <w:pStyle w:val="Textoindependiente"/>
        <w:spacing w:after="240" w:line="360" w:lineRule="auto"/>
        <w:jc w:val="both"/>
        <w:rPr>
          <w:rFonts w:ascii="Times New Roman" w:hAnsi="Times New Roman" w:cs="Times New Roman"/>
          <w:b/>
          <w:sz w:val="22"/>
          <w:szCs w:val="22"/>
          <w:lang w:val="es-ES"/>
        </w:rPr>
      </w:pPr>
      <w:r w:rsidRPr="00652F48">
        <w:rPr>
          <w:rFonts w:ascii="Times New Roman" w:hAnsi="Times New Roman" w:cs="Times New Roman"/>
          <w:b/>
          <w:i/>
          <w:sz w:val="22"/>
          <w:szCs w:val="22"/>
          <w:lang w:val="es-ES"/>
        </w:rPr>
        <w:t>4.1 Análisis descriptivo</w:t>
      </w:r>
    </w:p>
    <w:p w:rsidR="00351A13"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En primer lugar se presenta la Tabla 2, donde se ilustran las estadísticas principales (media, mediana, desvío, máximo y mínimo) de las variables involucradas en el análisis.</w:t>
      </w:r>
      <w:r w:rsidR="00351A13" w:rsidRPr="00652F48">
        <w:rPr>
          <w:rFonts w:ascii="Times New Roman" w:hAnsi="Times New Roman" w:cs="Times New Roman"/>
          <w:sz w:val="22"/>
          <w:szCs w:val="22"/>
          <w:lang w:val="es-ES"/>
        </w:rPr>
        <w:t xml:space="preserve"> </w:t>
      </w:r>
    </w:p>
    <w:p w:rsidR="00351A13" w:rsidRPr="00652F48" w:rsidRDefault="00351A13"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Como se puede apreciar, se destaca una profunda discrepancia en las variables FD, INF, DES y TP. La variable FD muestra valores significativamente más altos para las economías de Chile y Brasil, reflejando un mayor grado de desarrollo y profundización financiera. Las restantes variables alcanzan valores con mayor dispersión para el caso de Argentina.</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
    <w:p w:rsidR="005E49E5" w:rsidRPr="00652F48" w:rsidRDefault="005E49E5" w:rsidP="00652F48">
      <w:pPr>
        <w:spacing w:after="240" w:line="360" w:lineRule="auto"/>
        <w:jc w:val="both"/>
        <w:rPr>
          <w:rFonts w:ascii="Times New Roman" w:eastAsiaTheme="minorEastAsia" w:hAnsi="Times New Roman" w:cs="Times New Roman"/>
          <w:b/>
          <w:lang w:val="es-ES"/>
        </w:rPr>
      </w:pPr>
      <w:r w:rsidRPr="00652F48">
        <w:rPr>
          <w:rFonts w:ascii="Times New Roman" w:eastAsiaTheme="minorEastAsia" w:hAnsi="Times New Roman" w:cs="Times New Roman"/>
          <w:b/>
          <w:lang w:val="es-ES"/>
        </w:rPr>
        <w:t xml:space="preserve">Tabla 2: Resumen estadístico </w:t>
      </w:r>
    </w:p>
    <w:tbl>
      <w:tblPr>
        <w:tblW w:w="0" w:type="auto"/>
        <w:tblLook w:val="04A0"/>
      </w:tblPr>
      <w:tblGrid>
        <w:gridCol w:w="1215"/>
        <w:gridCol w:w="1106"/>
        <w:gridCol w:w="1222"/>
        <w:gridCol w:w="1216"/>
        <w:gridCol w:w="1197"/>
        <w:gridCol w:w="1179"/>
        <w:gridCol w:w="1585"/>
      </w:tblGrid>
      <w:tr w:rsidR="00530581" w:rsidRPr="00652F48" w:rsidTr="00530581">
        <w:trPr>
          <w:trHeight w:val="437"/>
        </w:trPr>
        <w:tc>
          <w:tcPr>
            <w:tcW w:w="1290" w:type="dxa"/>
            <w:tcBorders>
              <w:top w:val="single" w:sz="8" w:space="0" w:color="auto"/>
              <w:bottom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Variable</w:t>
            </w:r>
          </w:p>
        </w:tc>
        <w:tc>
          <w:tcPr>
            <w:tcW w:w="1229" w:type="dxa"/>
            <w:tcBorders>
              <w:top w:val="single" w:sz="8" w:space="0" w:color="auto"/>
              <w:bottom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Media</w:t>
            </w:r>
          </w:p>
        </w:tc>
        <w:tc>
          <w:tcPr>
            <w:tcW w:w="1295" w:type="dxa"/>
            <w:tcBorders>
              <w:top w:val="single" w:sz="8" w:space="0" w:color="auto"/>
              <w:bottom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Mediana</w:t>
            </w:r>
          </w:p>
        </w:tc>
        <w:tc>
          <w:tcPr>
            <w:tcW w:w="1292" w:type="dxa"/>
            <w:tcBorders>
              <w:top w:val="single" w:sz="8" w:space="0" w:color="auto"/>
              <w:bottom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Desvío estándar</w:t>
            </w:r>
          </w:p>
        </w:tc>
        <w:tc>
          <w:tcPr>
            <w:tcW w:w="1281" w:type="dxa"/>
            <w:tcBorders>
              <w:top w:val="single" w:sz="8" w:space="0" w:color="auto"/>
              <w:bottom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Máximo</w:t>
            </w:r>
          </w:p>
        </w:tc>
        <w:tc>
          <w:tcPr>
            <w:tcW w:w="1271" w:type="dxa"/>
            <w:tcBorders>
              <w:top w:val="single" w:sz="8" w:space="0" w:color="auto"/>
              <w:bottom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Mínimo</w:t>
            </w:r>
          </w:p>
        </w:tc>
        <w:tc>
          <w:tcPr>
            <w:tcW w:w="1062" w:type="dxa"/>
            <w:tcBorders>
              <w:top w:val="single" w:sz="8" w:space="0" w:color="auto"/>
              <w:bottom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Observaciones</w:t>
            </w:r>
          </w:p>
        </w:tc>
      </w:tr>
      <w:tr w:rsidR="00530581" w:rsidRPr="00652F48" w:rsidTr="00530581">
        <w:trPr>
          <w:trHeight w:val="437"/>
        </w:trPr>
        <w:tc>
          <w:tcPr>
            <w:tcW w:w="1290" w:type="dxa"/>
            <w:tcBorders>
              <w:top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HHD</w:t>
            </w:r>
          </w:p>
        </w:tc>
        <w:tc>
          <w:tcPr>
            <w:tcW w:w="1229" w:type="dxa"/>
            <w:tcBorders>
              <w:top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20,71</w:t>
            </w:r>
          </w:p>
        </w:tc>
        <w:tc>
          <w:tcPr>
            <w:tcW w:w="1295" w:type="dxa"/>
            <w:tcBorders>
              <w:top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18,73</w:t>
            </w:r>
          </w:p>
        </w:tc>
        <w:tc>
          <w:tcPr>
            <w:tcW w:w="1292" w:type="dxa"/>
            <w:tcBorders>
              <w:top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9,74</w:t>
            </w:r>
          </w:p>
        </w:tc>
        <w:tc>
          <w:tcPr>
            <w:tcW w:w="1281" w:type="dxa"/>
            <w:tcBorders>
              <w:top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48,89</w:t>
            </w:r>
          </w:p>
        </w:tc>
        <w:tc>
          <w:tcPr>
            <w:tcW w:w="1271" w:type="dxa"/>
            <w:tcBorders>
              <w:top w:val="single" w:sz="8" w:space="0" w:color="auto"/>
            </w:tcBorders>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4,65</w:t>
            </w:r>
          </w:p>
        </w:tc>
        <w:tc>
          <w:tcPr>
            <w:tcW w:w="1062" w:type="dxa"/>
            <w:tcBorders>
              <w:top w:val="single" w:sz="8" w:space="0" w:color="auto"/>
            </w:tcBorders>
            <w:vAlign w:val="center"/>
          </w:tcPr>
          <w:p w:rsidR="00530581" w:rsidRPr="00652F48" w:rsidRDefault="00FB14E2"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210</w:t>
            </w:r>
          </w:p>
        </w:tc>
      </w:tr>
      <w:tr w:rsidR="00530581" w:rsidRPr="00652F48" w:rsidTr="00530581">
        <w:trPr>
          <w:trHeight w:val="437"/>
        </w:trPr>
        <w:tc>
          <w:tcPr>
            <w:tcW w:w="1290"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TP</w:t>
            </w:r>
          </w:p>
        </w:tc>
        <w:tc>
          <w:tcPr>
            <w:tcW w:w="1229"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15,32</w:t>
            </w:r>
          </w:p>
        </w:tc>
        <w:tc>
          <w:tcPr>
            <w:tcW w:w="1295"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14,06</w:t>
            </w:r>
          </w:p>
        </w:tc>
        <w:tc>
          <w:tcPr>
            <w:tcW w:w="1292"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9,92</w:t>
            </w:r>
          </w:p>
        </w:tc>
        <w:tc>
          <w:tcPr>
            <w:tcW w:w="128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62,87</w:t>
            </w:r>
          </w:p>
        </w:tc>
        <w:tc>
          <w:tcPr>
            <w:tcW w:w="127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3,44</w:t>
            </w:r>
          </w:p>
        </w:tc>
        <w:tc>
          <w:tcPr>
            <w:tcW w:w="1062" w:type="dxa"/>
            <w:vAlign w:val="center"/>
          </w:tcPr>
          <w:p w:rsidR="00530581" w:rsidRPr="00652F48" w:rsidRDefault="006F2359"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187</w:t>
            </w:r>
          </w:p>
        </w:tc>
      </w:tr>
      <w:tr w:rsidR="00530581" w:rsidRPr="00652F48" w:rsidTr="00530581">
        <w:trPr>
          <w:trHeight w:val="437"/>
        </w:trPr>
        <w:tc>
          <w:tcPr>
            <w:tcW w:w="1290"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DES</w:t>
            </w:r>
          </w:p>
        </w:tc>
        <w:tc>
          <w:tcPr>
            <w:tcW w:w="1229"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7,</w:t>
            </w:r>
            <w:r w:rsidR="00C54362" w:rsidRPr="00652F48">
              <w:rPr>
                <w:rFonts w:ascii="Times New Roman" w:eastAsia="Times New Roman" w:hAnsi="Times New Roman" w:cs="Times New Roman"/>
                <w:lang w:eastAsia="es-ES"/>
              </w:rPr>
              <w:t>25</w:t>
            </w:r>
          </w:p>
        </w:tc>
        <w:tc>
          <w:tcPr>
            <w:tcW w:w="1295"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7,</w:t>
            </w:r>
            <w:r w:rsidR="00C54362" w:rsidRPr="00652F48">
              <w:rPr>
                <w:rFonts w:ascii="Times New Roman" w:eastAsia="Times New Roman" w:hAnsi="Times New Roman" w:cs="Times New Roman"/>
                <w:lang w:eastAsia="es-ES"/>
              </w:rPr>
              <w:t>10</w:t>
            </w:r>
          </w:p>
        </w:tc>
        <w:tc>
          <w:tcPr>
            <w:tcW w:w="1292"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w:t>
            </w:r>
            <w:r w:rsidR="00C54362" w:rsidRPr="00652F48">
              <w:rPr>
                <w:rFonts w:ascii="Times New Roman" w:eastAsia="Times New Roman" w:hAnsi="Times New Roman" w:cs="Times New Roman"/>
                <w:lang w:eastAsia="es-ES"/>
              </w:rPr>
              <w:t>77</w:t>
            </w:r>
          </w:p>
        </w:tc>
        <w:tc>
          <w:tcPr>
            <w:tcW w:w="128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19,12</w:t>
            </w:r>
          </w:p>
        </w:tc>
        <w:tc>
          <w:tcPr>
            <w:tcW w:w="127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3,00</w:t>
            </w:r>
          </w:p>
        </w:tc>
        <w:tc>
          <w:tcPr>
            <w:tcW w:w="1062" w:type="dxa"/>
            <w:vAlign w:val="center"/>
          </w:tcPr>
          <w:p w:rsidR="00530581" w:rsidRPr="00652F48" w:rsidRDefault="00FB47D7"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210</w:t>
            </w:r>
          </w:p>
        </w:tc>
      </w:tr>
      <w:tr w:rsidR="00530581" w:rsidRPr="00652F48" w:rsidTr="00530581">
        <w:trPr>
          <w:trHeight w:val="437"/>
        </w:trPr>
        <w:tc>
          <w:tcPr>
            <w:tcW w:w="1290"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EV</w:t>
            </w:r>
          </w:p>
        </w:tc>
        <w:tc>
          <w:tcPr>
            <w:tcW w:w="1229"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75,63</w:t>
            </w:r>
          </w:p>
        </w:tc>
        <w:tc>
          <w:tcPr>
            <w:tcW w:w="1295"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75,10</w:t>
            </w:r>
          </w:p>
        </w:tc>
        <w:tc>
          <w:tcPr>
            <w:tcW w:w="1292"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2,54</w:t>
            </w:r>
          </w:p>
        </w:tc>
        <w:tc>
          <w:tcPr>
            <w:tcW w:w="128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80,35</w:t>
            </w:r>
          </w:p>
        </w:tc>
        <w:tc>
          <w:tcPr>
            <w:tcW w:w="127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70,13</w:t>
            </w:r>
          </w:p>
        </w:tc>
        <w:tc>
          <w:tcPr>
            <w:tcW w:w="1062" w:type="dxa"/>
            <w:vAlign w:val="center"/>
          </w:tcPr>
          <w:p w:rsidR="00530581" w:rsidRPr="00652F48" w:rsidRDefault="00C9003C"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200</w:t>
            </w:r>
          </w:p>
        </w:tc>
      </w:tr>
      <w:tr w:rsidR="00530581" w:rsidRPr="00652F48" w:rsidTr="00530581">
        <w:trPr>
          <w:trHeight w:val="437"/>
        </w:trPr>
        <w:tc>
          <w:tcPr>
            <w:tcW w:w="1290"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EG</w:t>
            </w:r>
          </w:p>
        </w:tc>
        <w:tc>
          <w:tcPr>
            <w:tcW w:w="1229"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0,09</w:t>
            </w:r>
          </w:p>
        </w:tc>
        <w:tc>
          <w:tcPr>
            <w:tcW w:w="1295"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-0,03</w:t>
            </w:r>
          </w:p>
        </w:tc>
        <w:tc>
          <w:tcPr>
            <w:tcW w:w="1292"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0,48</w:t>
            </w:r>
          </w:p>
        </w:tc>
        <w:tc>
          <w:tcPr>
            <w:tcW w:w="128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1,19</w:t>
            </w:r>
          </w:p>
        </w:tc>
        <w:tc>
          <w:tcPr>
            <w:tcW w:w="127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-0,76</w:t>
            </w:r>
          </w:p>
        </w:tc>
        <w:tc>
          <w:tcPr>
            <w:tcW w:w="1062" w:type="dxa"/>
            <w:vAlign w:val="center"/>
          </w:tcPr>
          <w:p w:rsidR="00530581" w:rsidRPr="00652F48" w:rsidRDefault="00FB14E2"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200</w:t>
            </w:r>
          </w:p>
        </w:tc>
      </w:tr>
      <w:tr w:rsidR="00530581" w:rsidRPr="00652F48" w:rsidTr="00530581">
        <w:trPr>
          <w:trHeight w:val="437"/>
        </w:trPr>
        <w:tc>
          <w:tcPr>
            <w:tcW w:w="1290"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lastRenderedPageBreak/>
              <w:t>INF</w:t>
            </w:r>
          </w:p>
        </w:tc>
        <w:tc>
          <w:tcPr>
            <w:tcW w:w="1229"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5,25</w:t>
            </w:r>
          </w:p>
        </w:tc>
        <w:tc>
          <w:tcPr>
            <w:tcW w:w="1295"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3,60</w:t>
            </w:r>
          </w:p>
        </w:tc>
        <w:tc>
          <w:tcPr>
            <w:tcW w:w="1292"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6,12</w:t>
            </w:r>
          </w:p>
        </w:tc>
        <w:tc>
          <w:tcPr>
            <w:tcW w:w="128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39,00</w:t>
            </w:r>
          </w:p>
        </w:tc>
        <w:tc>
          <w:tcPr>
            <w:tcW w:w="127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-0,70</w:t>
            </w:r>
          </w:p>
        </w:tc>
        <w:tc>
          <w:tcPr>
            <w:tcW w:w="1062" w:type="dxa"/>
            <w:vAlign w:val="center"/>
          </w:tcPr>
          <w:p w:rsidR="00530581" w:rsidRPr="00652F48" w:rsidRDefault="00FB14E2"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210</w:t>
            </w:r>
          </w:p>
        </w:tc>
      </w:tr>
      <w:tr w:rsidR="00530581" w:rsidRPr="00652F48" w:rsidTr="00530581">
        <w:trPr>
          <w:trHeight w:val="437"/>
        </w:trPr>
        <w:tc>
          <w:tcPr>
            <w:tcW w:w="1290"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SAV</w:t>
            </w:r>
          </w:p>
        </w:tc>
        <w:tc>
          <w:tcPr>
            <w:tcW w:w="1229"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18,71</w:t>
            </w:r>
          </w:p>
        </w:tc>
        <w:tc>
          <w:tcPr>
            <w:tcW w:w="1295"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18,45</w:t>
            </w:r>
          </w:p>
        </w:tc>
        <w:tc>
          <w:tcPr>
            <w:tcW w:w="1292"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4,01</w:t>
            </w:r>
          </w:p>
        </w:tc>
        <w:tc>
          <w:tcPr>
            <w:tcW w:w="128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27,73</w:t>
            </w:r>
          </w:p>
        </w:tc>
        <w:tc>
          <w:tcPr>
            <w:tcW w:w="127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10,11</w:t>
            </w:r>
          </w:p>
        </w:tc>
        <w:tc>
          <w:tcPr>
            <w:tcW w:w="1062" w:type="dxa"/>
            <w:vAlign w:val="center"/>
          </w:tcPr>
          <w:p w:rsidR="00530581" w:rsidRPr="00652F48" w:rsidRDefault="00FB14E2"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210</w:t>
            </w:r>
          </w:p>
        </w:tc>
      </w:tr>
      <w:tr w:rsidR="00530581" w:rsidRPr="00652F48" w:rsidTr="00530581">
        <w:trPr>
          <w:trHeight w:val="437"/>
        </w:trPr>
        <w:tc>
          <w:tcPr>
            <w:tcW w:w="1290"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FD</w:t>
            </w:r>
          </w:p>
        </w:tc>
        <w:tc>
          <w:tcPr>
            <w:tcW w:w="1229"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33,29</w:t>
            </w:r>
          </w:p>
        </w:tc>
        <w:tc>
          <w:tcPr>
            <w:tcW w:w="1295"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27,38</w:t>
            </w:r>
          </w:p>
        </w:tc>
        <w:tc>
          <w:tcPr>
            <w:tcW w:w="1292"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14,11</w:t>
            </w:r>
          </w:p>
        </w:tc>
        <w:tc>
          <w:tcPr>
            <w:tcW w:w="128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76,00</w:t>
            </w:r>
          </w:p>
        </w:tc>
        <w:tc>
          <w:tcPr>
            <w:tcW w:w="1271" w:type="dxa"/>
            <w:vAlign w:val="center"/>
          </w:tcPr>
          <w:p w:rsidR="00530581" w:rsidRPr="00652F48" w:rsidRDefault="0053058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13,76</w:t>
            </w:r>
          </w:p>
        </w:tc>
        <w:tc>
          <w:tcPr>
            <w:tcW w:w="1062" w:type="dxa"/>
            <w:vAlign w:val="center"/>
          </w:tcPr>
          <w:p w:rsidR="00530581" w:rsidRPr="00652F48" w:rsidRDefault="006F2359"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206</w:t>
            </w:r>
          </w:p>
        </w:tc>
      </w:tr>
    </w:tbl>
    <w:p w:rsidR="005E49E5" w:rsidRPr="00652F48" w:rsidRDefault="005E49E5" w:rsidP="00652F48">
      <w:pPr>
        <w:pBdr>
          <w:bottom w:val="single" w:sz="4" w:space="1" w:color="auto"/>
        </w:pBdr>
        <w:spacing w:line="360" w:lineRule="auto"/>
        <w:jc w:val="both"/>
        <w:rPr>
          <w:rFonts w:ascii="Times New Roman" w:eastAsiaTheme="minorEastAsia" w:hAnsi="Times New Roman" w:cs="Times New Roman"/>
          <w:lang w:val="es-AR"/>
        </w:rPr>
      </w:pP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
    <w:p w:rsidR="005E49E5" w:rsidRPr="00652F48" w:rsidRDefault="00351A13"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Por otra parte</w:t>
      </w:r>
      <w:r w:rsidR="005E49E5" w:rsidRPr="00652F48">
        <w:rPr>
          <w:rFonts w:ascii="Times New Roman" w:hAnsi="Times New Roman" w:cs="Times New Roman"/>
          <w:sz w:val="22"/>
          <w:szCs w:val="22"/>
          <w:lang w:val="es-ES"/>
        </w:rPr>
        <w:t>, existen importantes disparidades tanto en la variable de interés como en muchas de las variables explicativas. Como se muestra en la Figura 1, todos los países presentan en el año 2021 valores más elevados para la deuda de los hogares en relación a los que mostraban antes de la crisis del 2008, en general creciendo de manera sostenida (a excepción de Argentina y Nicaragua).</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p>
    <w:p w:rsidR="005E49E5" w:rsidRPr="00652F48" w:rsidRDefault="005E49E5" w:rsidP="00652F48">
      <w:pPr>
        <w:spacing w:line="360" w:lineRule="auto"/>
        <w:jc w:val="both"/>
        <w:rPr>
          <w:rFonts w:ascii="Times New Roman" w:eastAsiaTheme="minorEastAsia" w:hAnsi="Times New Roman" w:cs="Times New Roman"/>
          <w:b/>
          <w:lang w:val="es-ES"/>
        </w:rPr>
      </w:pPr>
      <w:r w:rsidRPr="00652F48">
        <w:rPr>
          <w:rFonts w:ascii="Times New Roman" w:eastAsiaTheme="minorEastAsia" w:hAnsi="Times New Roman" w:cs="Times New Roman"/>
          <w:b/>
          <w:lang w:val="es-ES"/>
        </w:rPr>
        <w:t>Figura 1: Evolución de la deuda de los hogares (% PBI)</w:t>
      </w:r>
    </w:p>
    <w:p w:rsidR="005E49E5" w:rsidRPr="00652F48" w:rsidRDefault="005E49E5" w:rsidP="00652F48">
      <w:pPr>
        <w:spacing w:line="360" w:lineRule="auto"/>
        <w:jc w:val="both"/>
        <w:rPr>
          <w:rFonts w:ascii="Times New Roman" w:eastAsiaTheme="minorEastAsia" w:hAnsi="Times New Roman" w:cs="Times New Roman"/>
          <w:lang w:val="es-AR"/>
        </w:rPr>
      </w:pPr>
      <w:r w:rsidRPr="00652F48">
        <w:rPr>
          <w:rFonts w:ascii="Times New Roman" w:eastAsiaTheme="minorEastAsia" w:hAnsi="Times New Roman" w:cs="Times New Roman"/>
          <w:noProof/>
          <w:lang w:val="es-ES" w:eastAsia="es-ES"/>
        </w:rPr>
        <w:drawing>
          <wp:inline distT="0" distB="0" distL="0" distR="0">
            <wp:extent cx="5400040" cy="2734945"/>
            <wp:effectExtent l="19050" t="0" r="0" b="0"/>
            <wp:docPr id="1" name="0 Imagen" descr="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jpg"/>
                    <pic:cNvPicPr/>
                  </pic:nvPicPr>
                  <pic:blipFill>
                    <a:blip r:embed="rId8" cstate="print">
                      <a:lum contrast="-10000"/>
                    </a:blip>
                    <a:stretch>
                      <a:fillRect/>
                    </a:stretch>
                  </pic:blipFill>
                  <pic:spPr>
                    <a:xfrm>
                      <a:off x="0" y="0"/>
                      <a:ext cx="5400040" cy="2734945"/>
                    </a:xfrm>
                    <a:prstGeom prst="rect">
                      <a:avLst/>
                    </a:prstGeom>
                  </pic:spPr>
                </pic:pic>
              </a:graphicData>
            </a:graphic>
          </wp:inline>
        </w:drawing>
      </w:r>
    </w:p>
    <w:p w:rsidR="005E49E5" w:rsidRPr="00652F48" w:rsidRDefault="005E49E5" w:rsidP="00652F48">
      <w:pPr>
        <w:spacing w:line="360" w:lineRule="auto"/>
        <w:jc w:val="both"/>
        <w:rPr>
          <w:rFonts w:ascii="Times New Roman" w:eastAsiaTheme="minorEastAsia" w:hAnsi="Times New Roman" w:cs="Times New Roman"/>
          <w:i/>
          <w:lang w:val="es-AR"/>
        </w:rPr>
      </w:pPr>
      <w:r w:rsidRPr="00652F48">
        <w:rPr>
          <w:rFonts w:ascii="Times New Roman" w:eastAsiaTheme="minorEastAsia" w:hAnsi="Times New Roman" w:cs="Times New Roman"/>
          <w:i/>
          <w:lang w:val="es-AR"/>
        </w:rPr>
        <w:t>Fuente: elaboración propia</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p>
    <w:p w:rsidR="005E49E5" w:rsidRDefault="005E49E5" w:rsidP="00652F48">
      <w:pPr>
        <w:spacing w:line="360" w:lineRule="auto"/>
        <w:jc w:val="both"/>
        <w:rPr>
          <w:rFonts w:ascii="Times New Roman" w:hAnsi="Times New Roman" w:cs="Times New Roman"/>
          <w:lang w:val="es-ES"/>
        </w:rPr>
      </w:pPr>
      <w:r w:rsidRPr="00652F48">
        <w:rPr>
          <w:rFonts w:ascii="Times New Roman" w:hAnsi="Times New Roman" w:cs="Times New Roman"/>
          <w:lang w:val="es-ES"/>
        </w:rPr>
        <w:t>La Tabla 3 reporta la matriz de correlaciones entre las variables. La deuda de los hogares se encuentra correlacionada de manera positiva y significativa con la esperanza de vida, la efectividad del gobierno y el desarrollo financiero, mientras que la asociación es negativa y significativa con la tasa de inflación. Asimismo, puede notarse que ninguna de las variables explicativas parece representar la misma dimensión de análisis</w:t>
      </w:r>
      <w:r w:rsidR="00351A13" w:rsidRPr="00652F48">
        <w:rPr>
          <w:rFonts w:ascii="Times New Roman" w:hAnsi="Times New Roman" w:cs="Times New Roman"/>
          <w:lang w:val="es-ES"/>
        </w:rPr>
        <w:t xml:space="preserve"> en virtud de que en ningún caso el coeficiente de correlación supera el valor de 0,75</w:t>
      </w:r>
      <w:r w:rsidRPr="00652F48">
        <w:rPr>
          <w:rFonts w:ascii="Times New Roman" w:hAnsi="Times New Roman" w:cs="Times New Roman"/>
          <w:lang w:val="es-ES"/>
        </w:rPr>
        <w:t>.</w:t>
      </w:r>
    </w:p>
    <w:p w:rsidR="00EE303F" w:rsidRDefault="00EE303F" w:rsidP="00652F48">
      <w:pPr>
        <w:spacing w:line="360" w:lineRule="auto"/>
        <w:jc w:val="both"/>
        <w:rPr>
          <w:rFonts w:ascii="Times New Roman" w:hAnsi="Times New Roman" w:cs="Times New Roman"/>
          <w:lang w:val="es-ES"/>
        </w:rPr>
      </w:pPr>
    </w:p>
    <w:p w:rsidR="00EE303F" w:rsidRDefault="00EE303F" w:rsidP="00652F48">
      <w:pPr>
        <w:spacing w:line="360" w:lineRule="auto"/>
        <w:jc w:val="both"/>
        <w:rPr>
          <w:rFonts w:ascii="Times New Roman" w:hAnsi="Times New Roman" w:cs="Times New Roman"/>
          <w:lang w:val="es-ES"/>
        </w:rPr>
      </w:pPr>
    </w:p>
    <w:p w:rsidR="00EE303F" w:rsidRDefault="00EE303F" w:rsidP="00652F48">
      <w:pPr>
        <w:spacing w:line="360" w:lineRule="auto"/>
        <w:jc w:val="both"/>
        <w:rPr>
          <w:rFonts w:ascii="Times New Roman" w:hAnsi="Times New Roman" w:cs="Times New Roman"/>
          <w:lang w:val="es-ES"/>
        </w:rPr>
      </w:pPr>
    </w:p>
    <w:p w:rsidR="00EE303F" w:rsidRPr="00652F48" w:rsidRDefault="00EE303F" w:rsidP="00652F48">
      <w:pPr>
        <w:spacing w:line="360" w:lineRule="auto"/>
        <w:jc w:val="both"/>
        <w:rPr>
          <w:rFonts w:ascii="Times New Roman" w:hAnsi="Times New Roman" w:cs="Times New Roman"/>
          <w:lang w:val="es-ES"/>
        </w:rPr>
      </w:pPr>
    </w:p>
    <w:p w:rsidR="005E49E5" w:rsidRPr="00652F48" w:rsidRDefault="005E49E5" w:rsidP="00652F48">
      <w:pPr>
        <w:spacing w:line="360" w:lineRule="auto"/>
        <w:jc w:val="both"/>
        <w:rPr>
          <w:rFonts w:ascii="Times New Roman" w:hAnsi="Times New Roman" w:cs="Times New Roman"/>
          <w:lang w:val="es-ES"/>
        </w:rPr>
      </w:pPr>
    </w:p>
    <w:p w:rsidR="005E49E5" w:rsidRPr="00652F48" w:rsidRDefault="005E49E5" w:rsidP="00652F48">
      <w:pPr>
        <w:spacing w:line="360" w:lineRule="auto"/>
        <w:jc w:val="both"/>
        <w:rPr>
          <w:rFonts w:ascii="Times New Roman" w:hAnsi="Times New Roman" w:cs="Times New Roman"/>
          <w:lang w:val="es-ES"/>
        </w:rPr>
      </w:pPr>
      <w:r w:rsidRPr="00652F48">
        <w:rPr>
          <w:rFonts w:ascii="Times New Roman" w:eastAsiaTheme="minorEastAsia" w:hAnsi="Times New Roman" w:cs="Times New Roman"/>
          <w:b/>
          <w:lang w:val="es-ES"/>
        </w:rPr>
        <w:lastRenderedPageBreak/>
        <w:t xml:space="preserve">Tabla 3: matriz de correlaciones </w:t>
      </w:r>
    </w:p>
    <w:p w:rsidR="005E49E5" w:rsidRPr="00652F48" w:rsidRDefault="005E49E5" w:rsidP="00652F48">
      <w:pPr>
        <w:spacing w:line="360" w:lineRule="auto"/>
        <w:jc w:val="both"/>
        <w:rPr>
          <w:rFonts w:ascii="Times New Roman" w:hAnsi="Times New Roman" w:cs="Times New Roman"/>
          <w:lang w:val="es-ES"/>
        </w:rPr>
      </w:pPr>
    </w:p>
    <w:tbl>
      <w:tblPr>
        <w:tblW w:w="4672" w:type="pct"/>
        <w:jc w:val="center"/>
        <w:tblCellMar>
          <w:left w:w="0" w:type="dxa"/>
          <w:right w:w="0" w:type="dxa"/>
        </w:tblCellMar>
        <w:tblLook w:val="0000"/>
      </w:tblPr>
      <w:tblGrid>
        <w:gridCol w:w="1166"/>
        <w:gridCol w:w="115"/>
        <w:gridCol w:w="855"/>
        <w:gridCol w:w="845"/>
        <w:gridCol w:w="845"/>
        <w:gridCol w:w="845"/>
        <w:gridCol w:w="845"/>
        <w:gridCol w:w="845"/>
        <w:gridCol w:w="845"/>
        <w:gridCol w:w="845"/>
      </w:tblGrid>
      <w:tr w:rsidR="00DD32BB" w:rsidRPr="00652F48" w:rsidTr="00B2796A">
        <w:trPr>
          <w:trHeight w:val="220"/>
          <w:jc w:val="center"/>
        </w:trPr>
        <w:tc>
          <w:tcPr>
            <w:tcW w:w="668" w:type="pct"/>
            <w:tcBorders>
              <w:top w:val="nil"/>
              <w:left w:val="nil"/>
              <w:right w:val="nil"/>
            </w:tcBorders>
            <w:vAlign w:val="bottom"/>
          </w:tcPr>
          <w:p w:rsidR="0032377B" w:rsidRPr="00652F48" w:rsidRDefault="0032377B" w:rsidP="00652F48">
            <w:pPr>
              <w:autoSpaceDE w:val="0"/>
              <w:autoSpaceDN w:val="0"/>
              <w:adjustRightInd w:val="0"/>
              <w:spacing w:line="360" w:lineRule="auto"/>
              <w:rPr>
                <w:rFonts w:ascii="Times New Roman" w:hAnsi="Times New Roman" w:cs="Times New Roman"/>
              </w:rPr>
            </w:pPr>
          </w:p>
        </w:tc>
        <w:tc>
          <w:tcPr>
            <w:tcW w:w="603" w:type="pct"/>
            <w:gridSpan w:val="2"/>
            <w:tcBorders>
              <w:top w:val="nil"/>
              <w:left w:val="nil"/>
              <w:right w:val="nil"/>
            </w:tcBorders>
            <w:vAlign w:val="bottom"/>
          </w:tcPr>
          <w:p w:rsidR="0032377B" w:rsidRPr="00652F48" w:rsidRDefault="0032377B" w:rsidP="00652F48">
            <w:pPr>
              <w:autoSpaceDE w:val="0"/>
              <w:autoSpaceDN w:val="0"/>
              <w:adjustRightInd w:val="0"/>
              <w:spacing w:line="360" w:lineRule="auto"/>
              <w:rPr>
                <w:rFonts w:ascii="Times New Roman" w:hAnsi="Times New Roman" w:cs="Times New Roman"/>
              </w:rPr>
            </w:pPr>
          </w:p>
        </w:tc>
        <w:tc>
          <w:tcPr>
            <w:tcW w:w="531" w:type="pct"/>
            <w:tcBorders>
              <w:top w:val="nil"/>
              <w:left w:val="nil"/>
              <w:right w:val="nil"/>
            </w:tcBorders>
            <w:vAlign w:val="bottom"/>
          </w:tcPr>
          <w:p w:rsidR="0032377B" w:rsidRPr="00652F48" w:rsidRDefault="0032377B" w:rsidP="00652F48">
            <w:pPr>
              <w:autoSpaceDE w:val="0"/>
              <w:autoSpaceDN w:val="0"/>
              <w:adjustRightInd w:val="0"/>
              <w:spacing w:line="360" w:lineRule="auto"/>
              <w:jc w:val="center"/>
              <w:rPr>
                <w:rFonts w:ascii="Times New Roman" w:hAnsi="Times New Roman" w:cs="Times New Roman"/>
              </w:rPr>
            </w:pPr>
          </w:p>
        </w:tc>
        <w:tc>
          <w:tcPr>
            <w:tcW w:w="530" w:type="pct"/>
            <w:tcBorders>
              <w:top w:val="nil"/>
              <w:left w:val="nil"/>
              <w:right w:val="nil"/>
            </w:tcBorders>
            <w:vAlign w:val="bottom"/>
          </w:tcPr>
          <w:p w:rsidR="0032377B" w:rsidRPr="00652F48" w:rsidRDefault="0032377B" w:rsidP="00652F48">
            <w:pPr>
              <w:autoSpaceDE w:val="0"/>
              <w:autoSpaceDN w:val="0"/>
              <w:adjustRightInd w:val="0"/>
              <w:spacing w:line="360" w:lineRule="auto"/>
              <w:jc w:val="center"/>
              <w:rPr>
                <w:rFonts w:ascii="Times New Roman" w:hAnsi="Times New Roman" w:cs="Times New Roman"/>
              </w:rPr>
            </w:pPr>
          </w:p>
        </w:tc>
        <w:tc>
          <w:tcPr>
            <w:tcW w:w="631" w:type="pct"/>
            <w:tcBorders>
              <w:top w:val="nil"/>
              <w:left w:val="nil"/>
              <w:right w:val="nil"/>
            </w:tcBorders>
            <w:vAlign w:val="bottom"/>
          </w:tcPr>
          <w:p w:rsidR="0032377B" w:rsidRPr="00652F48" w:rsidRDefault="0032377B" w:rsidP="00652F48">
            <w:pPr>
              <w:autoSpaceDE w:val="0"/>
              <w:autoSpaceDN w:val="0"/>
              <w:adjustRightInd w:val="0"/>
              <w:spacing w:line="360" w:lineRule="auto"/>
              <w:jc w:val="center"/>
              <w:rPr>
                <w:rFonts w:ascii="Times New Roman" w:hAnsi="Times New Roman" w:cs="Times New Roman"/>
              </w:rPr>
            </w:pPr>
          </w:p>
        </w:tc>
        <w:tc>
          <w:tcPr>
            <w:tcW w:w="530" w:type="pct"/>
            <w:tcBorders>
              <w:top w:val="nil"/>
              <w:left w:val="nil"/>
              <w:right w:val="nil"/>
            </w:tcBorders>
            <w:vAlign w:val="bottom"/>
          </w:tcPr>
          <w:p w:rsidR="0032377B" w:rsidRPr="00652F48" w:rsidRDefault="0032377B" w:rsidP="00652F48">
            <w:pPr>
              <w:autoSpaceDE w:val="0"/>
              <w:autoSpaceDN w:val="0"/>
              <w:adjustRightInd w:val="0"/>
              <w:spacing w:line="360" w:lineRule="auto"/>
              <w:jc w:val="center"/>
              <w:rPr>
                <w:rFonts w:ascii="Times New Roman" w:hAnsi="Times New Roman" w:cs="Times New Roman"/>
              </w:rPr>
            </w:pPr>
          </w:p>
        </w:tc>
        <w:tc>
          <w:tcPr>
            <w:tcW w:w="530" w:type="pct"/>
            <w:tcBorders>
              <w:top w:val="nil"/>
              <w:left w:val="nil"/>
              <w:right w:val="nil"/>
            </w:tcBorders>
            <w:vAlign w:val="bottom"/>
          </w:tcPr>
          <w:p w:rsidR="0032377B" w:rsidRPr="00652F48" w:rsidRDefault="0032377B" w:rsidP="00652F48">
            <w:pPr>
              <w:autoSpaceDE w:val="0"/>
              <w:autoSpaceDN w:val="0"/>
              <w:adjustRightInd w:val="0"/>
              <w:spacing w:line="360" w:lineRule="auto"/>
              <w:jc w:val="center"/>
              <w:rPr>
                <w:rFonts w:ascii="Times New Roman" w:hAnsi="Times New Roman" w:cs="Times New Roman"/>
              </w:rPr>
            </w:pPr>
          </w:p>
        </w:tc>
        <w:tc>
          <w:tcPr>
            <w:tcW w:w="488" w:type="pct"/>
            <w:tcBorders>
              <w:top w:val="nil"/>
              <w:left w:val="nil"/>
              <w:right w:val="nil"/>
            </w:tcBorders>
            <w:vAlign w:val="bottom"/>
          </w:tcPr>
          <w:p w:rsidR="0032377B" w:rsidRPr="00652F48" w:rsidRDefault="0032377B" w:rsidP="00652F48">
            <w:pPr>
              <w:autoSpaceDE w:val="0"/>
              <w:autoSpaceDN w:val="0"/>
              <w:adjustRightInd w:val="0"/>
              <w:spacing w:line="360" w:lineRule="auto"/>
              <w:jc w:val="center"/>
              <w:rPr>
                <w:rFonts w:ascii="Times New Roman" w:hAnsi="Times New Roman" w:cs="Times New Roman"/>
              </w:rPr>
            </w:pPr>
          </w:p>
        </w:tc>
        <w:tc>
          <w:tcPr>
            <w:tcW w:w="488" w:type="pct"/>
            <w:tcBorders>
              <w:top w:val="nil"/>
              <w:left w:val="nil"/>
              <w:right w:val="nil"/>
            </w:tcBorders>
            <w:vAlign w:val="bottom"/>
          </w:tcPr>
          <w:p w:rsidR="0032377B" w:rsidRPr="00652F48" w:rsidRDefault="0032377B" w:rsidP="00652F48">
            <w:pPr>
              <w:autoSpaceDE w:val="0"/>
              <w:autoSpaceDN w:val="0"/>
              <w:adjustRightInd w:val="0"/>
              <w:spacing w:line="360" w:lineRule="auto"/>
              <w:jc w:val="center"/>
              <w:rPr>
                <w:rFonts w:ascii="Times New Roman" w:hAnsi="Times New Roman" w:cs="Times New Roman"/>
              </w:rPr>
            </w:pPr>
          </w:p>
        </w:tc>
      </w:tr>
      <w:tr w:rsidR="00DD32BB" w:rsidRPr="00652F48" w:rsidTr="00B2796A">
        <w:trPr>
          <w:trHeight w:val="220"/>
          <w:jc w:val="center"/>
        </w:trPr>
        <w:tc>
          <w:tcPr>
            <w:tcW w:w="734" w:type="pct"/>
            <w:gridSpan w:val="2"/>
            <w:tcBorders>
              <w:top w:val="nil"/>
              <w:left w:val="nil"/>
              <w:bottom w:val="single" w:sz="8" w:space="0" w:color="auto"/>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Correlación</w:t>
            </w:r>
          </w:p>
          <w:p w:rsidR="0032377B" w:rsidRPr="00652F48" w:rsidRDefault="0032377B"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(Probabilidad)</w:t>
            </w:r>
          </w:p>
        </w:tc>
        <w:tc>
          <w:tcPr>
            <w:tcW w:w="537" w:type="pct"/>
            <w:tcBorders>
              <w:top w:val="nil"/>
              <w:left w:val="single" w:sz="8" w:space="0" w:color="auto"/>
              <w:bottom w:val="single" w:sz="8" w:space="0" w:color="auto"/>
              <w:right w:val="nil"/>
            </w:tcBorders>
            <w:vAlign w:val="center"/>
          </w:tcPr>
          <w:p w:rsidR="0032377B" w:rsidRPr="00652F48" w:rsidRDefault="0032377B" w:rsidP="00652F48">
            <w:pPr>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HHD </w:t>
            </w:r>
          </w:p>
        </w:tc>
        <w:tc>
          <w:tcPr>
            <w:tcW w:w="531" w:type="pct"/>
            <w:tcBorders>
              <w:top w:val="nil"/>
              <w:left w:val="nil"/>
              <w:bottom w:val="single" w:sz="8" w:space="0" w:color="auto"/>
              <w:right w:val="nil"/>
            </w:tcBorders>
            <w:vAlign w:val="center"/>
          </w:tcPr>
          <w:p w:rsidR="0032377B" w:rsidRPr="00652F48" w:rsidRDefault="0032377B" w:rsidP="00652F48">
            <w:pPr>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LR </w:t>
            </w:r>
          </w:p>
        </w:tc>
        <w:tc>
          <w:tcPr>
            <w:tcW w:w="530" w:type="pct"/>
            <w:tcBorders>
              <w:top w:val="nil"/>
              <w:left w:val="nil"/>
              <w:bottom w:val="single" w:sz="8" w:space="0" w:color="auto"/>
              <w:right w:val="nil"/>
            </w:tcBorders>
            <w:vAlign w:val="center"/>
          </w:tcPr>
          <w:p w:rsidR="0032377B" w:rsidRPr="00652F48" w:rsidRDefault="0032377B" w:rsidP="00652F48">
            <w:pPr>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DES </w:t>
            </w:r>
          </w:p>
        </w:tc>
        <w:tc>
          <w:tcPr>
            <w:tcW w:w="631" w:type="pct"/>
            <w:tcBorders>
              <w:top w:val="nil"/>
              <w:left w:val="nil"/>
              <w:bottom w:val="single" w:sz="8" w:space="0" w:color="auto"/>
              <w:right w:val="nil"/>
            </w:tcBorders>
            <w:vAlign w:val="center"/>
          </w:tcPr>
          <w:p w:rsidR="0032377B" w:rsidRPr="00652F48" w:rsidRDefault="0032377B" w:rsidP="00652F48">
            <w:pPr>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EV </w:t>
            </w:r>
          </w:p>
        </w:tc>
        <w:tc>
          <w:tcPr>
            <w:tcW w:w="530" w:type="pct"/>
            <w:tcBorders>
              <w:top w:val="nil"/>
              <w:left w:val="nil"/>
              <w:bottom w:val="single" w:sz="8" w:space="0" w:color="auto"/>
              <w:right w:val="nil"/>
            </w:tcBorders>
            <w:vAlign w:val="center"/>
          </w:tcPr>
          <w:p w:rsidR="0032377B" w:rsidRPr="00652F48" w:rsidRDefault="0032377B" w:rsidP="00652F48">
            <w:pPr>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EG </w:t>
            </w:r>
          </w:p>
        </w:tc>
        <w:tc>
          <w:tcPr>
            <w:tcW w:w="530" w:type="pct"/>
            <w:tcBorders>
              <w:top w:val="nil"/>
              <w:left w:val="nil"/>
              <w:bottom w:val="single" w:sz="8" w:space="0" w:color="auto"/>
              <w:right w:val="nil"/>
            </w:tcBorders>
            <w:vAlign w:val="center"/>
          </w:tcPr>
          <w:p w:rsidR="0032377B" w:rsidRPr="00652F48" w:rsidRDefault="0032377B" w:rsidP="00652F48">
            <w:pPr>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INF </w:t>
            </w:r>
          </w:p>
        </w:tc>
        <w:tc>
          <w:tcPr>
            <w:tcW w:w="488" w:type="pct"/>
            <w:tcBorders>
              <w:top w:val="nil"/>
              <w:left w:val="nil"/>
              <w:bottom w:val="single" w:sz="8" w:space="0" w:color="auto"/>
              <w:right w:val="nil"/>
            </w:tcBorders>
            <w:vAlign w:val="center"/>
          </w:tcPr>
          <w:p w:rsidR="0032377B" w:rsidRPr="00652F48" w:rsidRDefault="0032377B" w:rsidP="00652F48">
            <w:pPr>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SAV </w:t>
            </w:r>
          </w:p>
        </w:tc>
        <w:tc>
          <w:tcPr>
            <w:tcW w:w="488" w:type="pct"/>
            <w:tcBorders>
              <w:top w:val="nil"/>
              <w:left w:val="nil"/>
              <w:bottom w:val="single" w:sz="8" w:space="0" w:color="auto"/>
              <w:right w:val="nil"/>
            </w:tcBorders>
            <w:vAlign w:val="center"/>
          </w:tcPr>
          <w:p w:rsidR="0032377B" w:rsidRPr="00652F48" w:rsidRDefault="0032377B" w:rsidP="00652F48">
            <w:pPr>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FD </w:t>
            </w:r>
          </w:p>
        </w:tc>
      </w:tr>
      <w:tr w:rsidR="00DD32BB" w:rsidRPr="00652F48" w:rsidTr="00B2796A">
        <w:trPr>
          <w:trHeight w:val="220"/>
          <w:jc w:val="center"/>
        </w:trPr>
        <w:tc>
          <w:tcPr>
            <w:tcW w:w="734" w:type="pct"/>
            <w:gridSpan w:val="2"/>
            <w:tcBorders>
              <w:top w:val="single" w:sz="8" w:space="0" w:color="auto"/>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HHD</w:t>
            </w:r>
          </w:p>
        </w:tc>
        <w:tc>
          <w:tcPr>
            <w:tcW w:w="537" w:type="pct"/>
            <w:tcBorders>
              <w:top w:val="single" w:sz="8" w:space="0" w:color="auto"/>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1.000000</w:t>
            </w:r>
          </w:p>
        </w:tc>
        <w:tc>
          <w:tcPr>
            <w:tcW w:w="531" w:type="pct"/>
            <w:tcBorders>
              <w:top w:val="single" w:sz="8" w:space="0" w:color="auto"/>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single" w:sz="8" w:space="0" w:color="auto"/>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631" w:type="pct"/>
            <w:tcBorders>
              <w:top w:val="single" w:sz="8" w:space="0" w:color="auto"/>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single" w:sz="8" w:space="0" w:color="auto"/>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single" w:sz="8" w:space="0" w:color="auto"/>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single" w:sz="8" w:space="0" w:color="auto"/>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single" w:sz="8" w:space="0" w:color="auto"/>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w:t>
            </w:r>
          </w:p>
        </w:tc>
        <w:tc>
          <w:tcPr>
            <w:tcW w:w="531"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631"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6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472BF1"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TP</w:t>
            </w: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w:t>
            </w:r>
            <w:r w:rsidR="00DD32BB" w:rsidRPr="00652F48">
              <w:rPr>
                <w:rFonts w:ascii="Times New Roman" w:eastAsia="Times New Roman" w:hAnsi="Times New Roman" w:cs="Times New Roman"/>
                <w:lang w:eastAsia="es-ES"/>
              </w:rPr>
              <w:t>591</w:t>
            </w:r>
          </w:p>
        </w:tc>
        <w:tc>
          <w:tcPr>
            <w:tcW w:w="5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1.000000</w:t>
            </w: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631"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w:t>
            </w:r>
            <w:r w:rsidR="00DD32BB" w:rsidRPr="00652F48">
              <w:rPr>
                <w:rFonts w:ascii="Times New Roman" w:eastAsia="Times New Roman" w:hAnsi="Times New Roman" w:cs="Times New Roman"/>
                <w:lang w:eastAsia="es-ES"/>
              </w:rPr>
              <w:t>400</w:t>
            </w:r>
            <w:r w:rsidRPr="00652F48">
              <w:rPr>
                <w:rFonts w:ascii="Times New Roman" w:eastAsia="Times New Roman" w:hAnsi="Times New Roman" w:cs="Times New Roman"/>
                <w:lang w:eastAsia="es-ES"/>
              </w:rPr>
              <w:t>)</w:t>
            </w:r>
          </w:p>
        </w:tc>
        <w:tc>
          <w:tcPr>
            <w:tcW w:w="5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w:t>
            </w: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631"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6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DES </w:t>
            </w: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083200</w:t>
            </w:r>
          </w:p>
        </w:tc>
        <w:tc>
          <w:tcPr>
            <w:tcW w:w="5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0.31</w:t>
            </w:r>
            <w:r w:rsidR="00DD32BB" w:rsidRPr="00652F48">
              <w:rPr>
                <w:rFonts w:ascii="Times New Roman" w:eastAsia="Times New Roman" w:hAnsi="Times New Roman" w:cs="Times New Roman"/>
                <w:lang w:eastAsia="es-ES"/>
              </w:rPr>
              <w:t>8833</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1.000000</w:t>
            </w:r>
          </w:p>
        </w:tc>
        <w:tc>
          <w:tcPr>
            <w:tcW w:w="631"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2851</w:t>
            </w:r>
            <w:r w:rsidRPr="00652F48">
              <w:rPr>
                <w:rFonts w:ascii="Times New Roman" w:eastAsia="Times New Roman" w:hAnsi="Times New Roman" w:cs="Times New Roman"/>
                <w:lang w:eastAsia="es-ES"/>
              </w:rPr>
              <w:t>)</w:t>
            </w:r>
          </w:p>
        </w:tc>
        <w:tc>
          <w:tcPr>
            <w:tcW w:w="5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w:t>
            </w:r>
            <w:r w:rsidR="00DD32BB" w:rsidRPr="00652F48">
              <w:rPr>
                <w:rFonts w:ascii="Times New Roman" w:eastAsia="Times New Roman" w:hAnsi="Times New Roman" w:cs="Times New Roman"/>
                <w:lang w:eastAsia="es-ES"/>
              </w:rPr>
              <w:t>0</w:t>
            </w:r>
            <w:r w:rsidRPr="00652F48">
              <w:rPr>
                <w:rFonts w:ascii="Times New Roman" w:eastAsia="Times New Roman" w:hAnsi="Times New Roman" w:cs="Times New Roman"/>
                <w:lang w:eastAsia="es-ES"/>
              </w:rPr>
              <w:t>)</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w:t>
            </w:r>
          </w:p>
        </w:tc>
        <w:tc>
          <w:tcPr>
            <w:tcW w:w="631"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6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EV </w:t>
            </w: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4</w:t>
            </w: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081</w:t>
            </w:r>
            <w:r w:rsidRPr="00652F48">
              <w:rPr>
                <w:rFonts w:ascii="Times New Roman" w:eastAsia="Times New Roman" w:hAnsi="Times New Roman" w:cs="Times New Roman"/>
                <w:lang w:eastAsia="es-ES"/>
              </w:rPr>
              <w:t>8</w:t>
            </w:r>
          </w:p>
        </w:tc>
        <w:tc>
          <w:tcPr>
            <w:tcW w:w="531" w:type="pct"/>
            <w:tcBorders>
              <w:top w:val="nil"/>
              <w:left w:val="nil"/>
              <w:bottom w:val="nil"/>
              <w:right w:val="nil"/>
            </w:tcBorders>
            <w:vAlign w:val="bottom"/>
          </w:tcPr>
          <w:p w:rsidR="0032377B" w:rsidRPr="00652F48" w:rsidRDefault="00DD32B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-0.268036</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25</w:t>
            </w:r>
            <w:r w:rsidRPr="00652F48">
              <w:rPr>
                <w:rFonts w:ascii="Times New Roman" w:eastAsia="Times New Roman" w:hAnsi="Times New Roman" w:cs="Times New Roman"/>
                <w:lang w:eastAsia="es-ES"/>
              </w:rPr>
              <w:t>4351</w:t>
            </w:r>
          </w:p>
        </w:tc>
        <w:tc>
          <w:tcPr>
            <w:tcW w:w="6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1.000000</w:t>
            </w: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(0.0000)</w:t>
            </w:r>
          </w:p>
        </w:tc>
        <w:tc>
          <w:tcPr>
            <w:tcW w:w="531" w:type="pct"/>
            <w:tcBorders>
              <w:top w:val="nil"/>
              <w:left w:val="nil"/>
              <w:bottom w:val="nil"/>
              <w:right w:val="nil"/>
            </w:tcBorders>
            <w:vAlign w:val="bottom"/>
          </w:tcPr>
          <w:p w:rsidR="0032377B" w:rsidRPr="00652F48" w:rsidRDefault="00DD32B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w:t>
            </w:r>
            <w:r w:rsidR="0032377B" w:rsidRPr="00652F48">
              <w:rPr>
                <w:rFonts w:ascii="Times New Roman" w:eastAsia="Times New Roman" w:hAnsi="Times New Roman" w:cs="Times New Roman"/>
                <w:lang w:eastAsia="es-ES"/>
              </w:rPr>
              <w:t>4)</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w:t>
            </w:r>
            <w:r w:rsidR="00DD32BB" w:rsidRPr="00652F48">
              <w:rPr>
                <w:rFonts w:ascii="Times New Roman" w:eastAsia="Times New Roman" w:hAnsi="Times New Roman" w:cs="Times New Roman"/>
                <w:lang w:eastAsia="es-ES"/>
              </w:rPr>
              <w:t>008</w:t>
            </w:r>
            <w:r w:rsidRPr="00652F48">
              <w:rPr>
                <w:rFonts w:ascii="Times New Roman" w:eastAsia="Times New Roman" w:hAnsi="Times New Roman" w:cs="Times New Roman"/>
                <w:lang w:eastAsia="es-ES"/>
              </w:rPr>
              <w:t>)</w:t>
            </w:r>
          </w:p>
        </w:tc>
        <w:tc>
          <w:tcPr>
            <w:tcW w:w="6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w:t>
            </w: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6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EG </w:t>
            </w: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38</w:t>
            </w:r>
            <w:r w:rsidRPr="00652F48">
              <w:rPr>
                <w:rFonts w:ascii="Times New Roman" w:eastAsia="Times New Roman" w:hAnsi="Times New Roman" w:cs="Times New Roman"/>
                <w:lang w:eastAsia="es-ES"/>
              </w:rPr>
              <w:t>9</w:t>
            </w:r>
            <w:r w:rsidR="00DD32BB" w:rsidRPr="00652F48">
              <w:rPr>
                <w:rFonts w:ascii="Times New Roman" w:eastAsia="Times New Roman" w:hAnsi="Times New Roman" w:cs="Times New Roman"/>
                <w:lang w:eastAsia="es-ES"/>
              </w:rPr>
              <w:t>5</w:t>
            </w:r>
            <w:r w:rsidRPr="00652F48">
              <w:rPr>
                <w:rFonts w:ascii="Times New Roman" w:eastAsia="Times New Roman" w:hAnsi="Times New Roman" w:cs="Times New Roman"/>
                <w:lang w:eastAsia="es-ES"/>
              </w:rPr>
              <w:t>66</w:t>
            </w:r>
          </w:p>
        </w:tc>
        <w:tc>
          <w:tcPr>
            <w:tcW w:w="5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2</w:t>
            </w:r>
            <w:r w:rsidRPr="00652F48">
              <w:rPr>
                <w:rFonts w:ascii="Times New Roman" w:eastAsia="Times New Roman" w:hAnsi="Times New Roman" w:cs="Times New Roman"/>
                <w:lang w:eastAsia="es-ES"/>
              </w:rPr>
              <w:t>42261</w:t>
            </w:r>
          </w:p>
        </w:tc>
        <w:tc>
          <w:tcPr>
            <w:tcW w:w="530" w:type="pct"/>
            <w:tcBorders>
              <w:top w:val="nil"/>
              <w:left w:val="nil"/>
              <w:bottom w:val="nil"/>
              <w:right w:val="nil"/>
            </w:tcBorders>
            <w:vAlign w:val="bottom"/>
          </w:tcPr>
          <w:p w:rsidR="0032377B" w:rsidRPr="00652F48" w:rsidRDefault="00DD32B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32377B" w:rsidRPr="00652F48">
              <w:rPr>
                <w:rFonts w:ascii="Times New Roman" w:eastAsia="Times New Roman" w:hAnsi="Times New Roman" w:cs="Times New Roman"/>
                <w:lang w:eastAsia="es-ES"/>
              </w:rPr>
              <w:t>.</w:t>
            </w:r>
            <w:r w:rsidRPr="00652F48">
              <w:rPr>
                <w:rFonts w:ascii="Times New Roman" w:eastAsia="Times New Roman" w:hAnsi="Times New Roman" w:cs="Times New Roman"/>
                <w:lang w:eastAsia="es-ES"/>
              </w:rPr>
              <w:t>186629</w:t>
            </w:r>
          </w:p>
        </w:tc>
        <w:tc>
          <w:tcPr>
            <w:tcW w:w="6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0.7</w:t>
            </w:r>
            <w:r w:rsidR="00DD32BB" w:rsidRPr="00652F48">
              <w:rPr>
                <w:rFonts w:ascii="Times New Roman" w:eastAsia="Times New Roman" w:hAnsi="Times New Roman" w:cs="Times New Roman"/>
                <w:lang w:eastAsia="es-ES"/>
              </w:rPr>
              <w:t>932</w:t>
            </w:r>
            <w:r w:rsidRPr="00652F48">
              <w:rPr>
                <w:rFonts w:ascii="Times New Roman" w:eastAsia="Times New Roman" w:hAnsi="Times New Roman" w:cs="Times New Roman"/>
                <w:lang w:eastAsia="es-ES"/>
              </w:rPr>
              <w:t>49</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1.000000</w:t>
            </w: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(0.0000)</w:t>
            </w:r>
          </w:p>
        </w:tc>
        <w:tc>
          <w:tcPr>
            <w:tcW w:w="5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w:t>
            </w:r>
            <w:r w:rsidR="00DD32BB" w:rsidRPr="00652F48">
              <w:rPr>
                <w:rFonts w:ascii="Times New Roman" w:eastAsia="Times New Roman" w:hAnsi="Times New Roman" w:cs="Times New Roman"/>
                <w:lang w:eastAsia="es-ES"/>
              </w:rPr>
              <w:t>15</w:t>
            </w:r>
            <w:r w:rsidRPr="00652F48">
              <w:rPr>
                <w:rFonts w:ascii="Times New Roman" w:eastAsia="Times New Roman" w:hAnsi="Times New Roman" w:cs="Times New Roman"/>
                <w:lang w:eastAsia="es-ES"/>
              </w:rPr>
              <w:t>)</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0157</w:t>
            </w:r>
            <w:r w:rsidRPr="00652F48">
              <w:rPr>
                <w:rFonts w:ascii="Times New Roman" w:eastAsia="Times New Roman" w:hAnsi="Times New Roman" w:cs="Times New Roman"/>
                <w:lang w:eastAsia="es-ES"/>
              </w:rPr>
              <w:t>)</w:t>
            </w:r>
          </w:p>
        </w:tc>
        <w:tc>
          <w:tcPr>
            <w:tcW w:w="6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(0.0000)</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w:t>
            </w:r>
          </w:p>
        </w:tc>
        <w:tc>
          <w:tcPr>
            <w:tcW w:w="530"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6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INF </w:t>
            </w: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40</w:t>
            </w:r>
            <w:r w:rsidRPr="00652F48">
              <w:rPr>
                <w:rFonts w:ascii="Times New Roman" w:eastAsia="Times New Roman" w:hAnsi="Times New Roman" w:cs="Times New Roman"/>
                <w:lang w:eastAsia="es-ES"/>
              </w:rPr>
              <w:t>1398</w:t>
            </w:r>
          </w:p>
        </w:tc>
        <w:tc>
          <w:tcPr>
            <w:tcW w:w="5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0.20</w:t>
            </w:r>
            <w:r w:rsidR="00DD32BB" w:rsidRPr="00652F48">
              <w:rPr>
                <w:rFonts w:ascii="Times New Roman" w:eastAsia="Times New Roman" w:hAnsi="Times New Roman" w:cs="Times New Roman"/>
                <w:lang w:eastAsia="es-ES"/>
              </w:rPr>
              <w:t>45</w:t>
            </w:r>
            <w:r w:rsidRPr="00652F48">
              <w:rPr>
                <w:rFonts w:ascii="Times New Roman" w:eastAsia="Times New Roman" w:hAnsi="Times New Roman" w:cs="Times New Roman"/>
                <w:lang w:eastAsia="es-ES"/>
              </w:rPr>
              <w:t>16</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w:t>
            </w:r>
            <w:r w:rsidR="00DD32BB" w:rsidRPr="00652F48">
              <w:rPr>
                <w:rFonts w:ascii="Times New Roman" w:eastAsia="Times New Roman" w:hAnsi="Times New Roman" w:cs="Times New Roman"/>
                <w:lang w:eastAsia="es-ES"/>
              </w:rPr>
              <w:t>2645</w:t>
            </w:r>
            <w:r w:rsidRPr="00652F48">
              <w:rPr>
                <w:rFonts w:ascii="Times New Roman" w:eastAsia="Times New Roman" w:hAnsi="Times New Roman" w:cs="Times New Roman"/>
                <w:lang w:eastAsia="es-ES"/>
              </w:rPr>
              <w:t>9</w:t>
            </w:r>
          </w:p>
        </w:tc>
        <w:tc>
          <w:tcPr>
            <w:tcW w:w="6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0.145947</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w:t>
            </w:r>
            <w:r w:rsidR="00DD32BB" w:rsidRPr="00652F48">
              <w:rPr>
                <w:rFonts w:ascii="Times New Roman" w:eastAsia="Times New Roman" w:hAnsi="Times New Roman" w:cs="Times New Roman"/>
                <w:lang w:eastAsia="es-ES"/>
              </w:rPr>
              <w:t>7</w:t>
            </w:r>
            <w:r w:rsidRPr="00652F48">
              <w:rPr>
                <w:rFonts w:ascii="Times New Roman" w:eastAsia="Times New Roman" w:hAnsi="Times New Roman" w:cs="Times New Roman"/>
                <w:lang w:eastAsia="es-ES"/>
              </w:rPr>
              <w:t>3047</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1.000000</w:t>
            </w: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(0.0000)</w:t>
            </w:r>
          </w:p>
        </w:tc>
        <w:tc>
          <w:tcPr>
            <w:tcW w:w="5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w:t>
            </w:r>
            <w:r w:rsidR="00DD32BB" w:rsidRPr="00652F48">
              <w:rPr>
                <w:rFonts w:ascii="Times New Roman" w:eastAsia="Times New Roman" w:hAnsi="Times New Roman" w:cs="Times New Roman"/>
                <w:lang w:eastAsia="es-ES"/>
              </w:rPr>
              <w:t>0</w:t>
            </w:r>
            <w:r w:rsidRPr="00652F48">
              <w:rPr>
                <w:rFonts w:ascii="Times New Roman" w:eastAsia="Times New Roman" w:hAnsi="Times New Roman" w:cs="Times New Roman"/>
                <w:lang w:eastAsia="es-ES"/>
              </w:rPr>
              <w:t>33)</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7</w:t>
            </w:r>
            <w:r w:rsidRPr="00652F48">
              <w:rPr>
                <w:rFonts w:ascii="Times New Roman" w:eastAsia="Times New Roman" w:hAnsi="Times New Roman" w:cs="Times New Roman"/>
                <w:lang w:eastAsia="es-ES"/>
              </w:rPr>
              <w:t>314)</w:t>
            </w:r>
          </w:p>
        </w:tc>
        <w:tc>
          <w:tcPr>
            <w:tcW w:w="6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(0.1164)</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36</w:t>
            </w:r>
            <w:r w:rsidRPr="00652F48">
              <w:rPr>
                <w:rFonts w:ascii="Times New Roman" w:eastAsia="Times New Roman" w:hAnsi="Times New Roman" w:cs="Times New Roman"/>
                <w:lang w:eastAsia="es-ES"/>
              </w:rPr>
              <w:t>95)</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w:t>
            </w: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6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SAV </w:t>
            </w: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009</w:t>
            </w:r>
            <w:r w:rsidRPr="00652F48">
              <w:rPr>
                <w:rFonts w:ascii="Times New Roman" w:eastAsia="Times New Roman" w:hAnsi="Times New Roman" w:cs="Times New Roman"/>
                <w:lang w:eastAsia="es-ES"/>
              </w:rPr>
              <w:t>799</w:t>
            </w:r>
          </w:p>
        </w:tc>
        <w:tc>
          <w:tcPr>
            <w:tcW w:w="5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3</w:t>
            </w:r>
            <w:r w:rsidRPr="00652F48">
              <w:rPr>
                <w:rFonts w:ascii="Times New Roman" w:eastAsia="Times New Roman" w:hAnsi="Times New Roman" w:cs="Times New Roman"/>
                <w:lang w:eastAsia="es-ES"/>
              </w:rPr>
              <w:t>3</w:t>
            </w:r>
            <w:r w:rsidR="00DD32BB" w:rsidRPr="00652F48">
              <w:rPr>
                <w:rFonts w:ascii="Times New Roman" w:eastAsia="Times New Roman" w:hAnsi="Times New Roman" w:cs="Times New Roman"/>
                <w:lang w:eastAsia="es-ES"/>
              </w:rPr>
              <w:t>8</w:t>
            </w:r>
            <w:r w:rsidRPr="00652F48">
              <w:rPr>
                <w:rFonts w:ascii="Times New Roman" w:eastAsia="Times New Roman" w:hAnsi="Times New Roman" w:cs="Times New Roman"/>
                <w:lang w:eastAsia="es-ES"/>
              </w:rPr>
              <w:t>417</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-0.3</w:t>
            </w:r>
            <w:r w:rsidR="00DD32BB" w:rsidRPr="00652F48">
              <w:rPr>
                <w:rFonts w:ascii="Times New Roman" w:eastAsia="Times New Roman" w:hAnsi="Times New Roman" w:cs="Times New Roman"/>
                <w:lang w:eastAsia="es-ES"/>
              </w:rPr>
              <w:t>1</w:t>
            </w:r>
            <w:r w:rsidRPr="00652F48">
              <w:rPr>
                <w:rFonts w:ascii="Times New Roman" w:eastAsia="Times New Roman" w:hAnsi="Times New Roman" w:cs="Times New Roman"/>
                <w:lang w:eastAsia="es-ES"/>
              </w:rPr>
              <w:t>8328</w:t>
            </w:r>
          </w:p>
        </w:tc>
        <w:tc>
          <w:tcPr>
            <w:tcW w:w="6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w:t>
            </w:r>
            <w:r w:rsidR="00DD32BB" w:rsidRPr="00652F48">
              <w:rPr>
                <w:rFonts w:ascii="Times New Roman" w:eastAsia="Times New Roman" w:hAnsi="Times New Roman" w:cs="Times New Roman"/>
                <w:lang w:eastAsia="es-ES"/>
              </w:rPr>
              <w:t>9</w:t>
            </w:r>
            <w:r w:rsidRPr="00652F48">
              <w:rPr>
                <w:rFonts w:ascii="Times New Roman" w:eastAsia="Times New Roman" w:hAnsi="Times New Roman" w:cs="Times New Roman"/>
                <w:lang w:eastAsia="es-ES"/>
              </w:rPr>
              <w:t>2472</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2</w:t>
            </w:r>
            <w:r w:rsidRPr="00652F48">
              <w:rPr>
                <w:rFonts w:ascii="Times New Roman" w:eastAsia="Times New Roman" w:hAnsi="Times New Roman" w:cs="Times New Roman"/>
                <w:lang w:eastAsia="es-ES"/>
              </w:rPr>
              <w:t>54555</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w:t>
            </w:r>
            <w:r w:rsidR="00DD32BB" w:rsidRPr="00652F48">
              <w:rPr>
                <w:rFonts w:ascii="Times New Roman" w:eastAsia="Times New Roman" w:hAnsi="Times New Roman" w:cs="Times New Roman"/>
                <w:lang w:eastAsia="es-ES"/>
              </w:rPr>
              <w:t>3</w:t>
            </w:r>
            <w:r w:rsidRPr="00652F48">
              <w:rPr>
                <w:rFonts w:ascii="Times New Roman" w:eastAsia="Times New Roman" w:hAnsi="Times New Roman" w:cs="Times New Roman"/>
                <w:lang w:eastAsia="es-ES"/>
              </w:rPr>
              <w:t>2909</w:t>
            </w:r>
          </w:p>
        </w:tc>
        <w:tc>
          <w:tcPr>
            <w:tcW w:w="488"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1.000000</w:t>
            </w: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9</w:t>
            </w:r>
            <w:r w:rsidRPr="00652F48">
              <w:rPr>
                <w:rFonts w:ascii="Times New Roman" w:eastAsia="Times New Roman" w:hAnsi="Times New Roman" w:cs="Times New Roman"/>
                <w:lang w:eastAsia="es-ES"/>
              </w:rPr>
              <w:t>020)</w:t>
            </w:r>
          </w:p>
        </w:tc>
        <w:tc>
          <w:tcPr>
            <w:tcW w:w="5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(0.0000)</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(0.0003)</w:t>
            </w:r>
          </w:p>
        </w:tc>
        <w:tc>
          <w:tcPr>
            <w:tcW w:w="631"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22</w:t>
            </w:r>
            <w:r w:rsidRPr="00652F48">
              <w:rPr>
                <w:rFonts w:ascii="Times New Roman" w:eastAsia="Times New Roman" w:hAnsi="Times New Roman" w:cs="Times New Roman"/>
                <w:lang w:eastAsia="es-ES"/>
              </w:rPr>
              <w:t>99)</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(0.0001)</w:t>
            </w:r>
          </w:p>
        </w:tc>
        <w:tc>
          <w:tcPr>
            <w:tcW w:w="530"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(0.0212)</w:t>
            </w:r>
          </w:p>
        </w:tc>
        <w:tc>
          <w:tcPr>
            <w:tcW w:w="488" w:type="pct"/>
            <w:tcBorders>
              <w:top w:val="nil"/>
              <w:left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w:t>
            </w:r>
          </w:p>
        </w:tc>
        <w:tc>
          <w:tcPr>
            <w:tcW w:w="488" w:type="pct"/>
            <w:tcBorders>
              <w:top w:val="nil"/>
              <w:left w:val="nil"/>
              <w:bottom w:val="nil"/>
              <w:right w:val="nil"/>
            </w:tcBorders>
            <w:vAlign w:val="bottom"/>
          </w:tcPr>
          <w:p w:rsidR="0032377B" w:rsidRPr="00652F48" w:rsidRDefault="0032377B" w:rsidP="00652F48">
            <w:pPr>
              <w:spacing w:line="360" w:lineRule="auto"/>
              <w:ind w:right="20"/>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631"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0"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488" w:type="pct"/>
            <w:tcBorders>
              <w:top w:val="nil"/>
              <w:left w:val="nil"/>
              <w:bottom w:val="nil"/>
              <w:right w:val="nil"/>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FD</w:t>
            </w:r>
          </w:p>
        </w:tc>
        <w:tc>
          <w:tcPr>
            <w:tcW w:w="537" w:type="pct"/>
            <w:tcBorders>
              <w:top w:val="nil"/>
              <w:left w:val="single" w:sz="8" w:space="0" w:color="auto"/>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58</w:t>
            </w:r>
            <w:r w:rsidRPr="00652F48">
              <w:rPr>
                <w:rFonts w:ascii="Times New Roman" w:eastAsia="Times New Roman" w:hAnsi="Times New Roman" w:cs="Times New Roman"/>
                <w:lang w:eastAsia="es-ES"/>
              </w:rPr>
              <w:t>0734</w:t>
            </w:r>
          </w:p>
        </w:tc>
        <w:tc>
          <w:tcPr>
            <w:tcW w:w="531" w:type="pct"/>
            <w:tcBorders>
              <w:top w:val="nil"/>
              <w:left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DD32BB" w:rsidRPr="00652F48">
              <w:rPr>
                <w:rFonts w:ascii="Times New Roman" w:eastAsia="Times New Roman" w:hAnsi="Times New Roman" w:cs="Times New Roman"/>
                <w:lang w:eastAsia="es-ES"/>
              </w:rPr>
              <w:t>36</w:t>
            </w:r>
            <w:r w:rsidRPr="00652F48">
              <w:rPr>
                <w:rFonts w:ascii="Times New Roman" w:eastAsia="Times New Roman" w:hAnsi="Times New Roman" w:cs="Times New Roman"/>
                <w:lang w:eastAsia="es-ES"/>
              </w:rPr>
              <w:t>7273</w:t>
            </w:r>
          </w:p>
        </w:tc>
        <w:tc>
          <w:tcPr>
            <w:tcW w:w="530" w:type="pct"/>
            <w:tcBorders>
              <w:top w:val="nil"/>
              <w:left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w:t>
            </w:r>
            <w:r w:rsidR="00DD32BB" w:rsidRPr="00652F48">
              <w:rPr>
                <w:rFonts w:ascii="Times New Roman" w:eastAsia="Times New Roman" w:hAnsi="Times New Roman" w:cs="Times New Roman"/>
                <w:lang w:eastAsia="es-ES"/>
              </w:rPr>
              <w:t>22</w:t>
            </w:r>
            <w:r w:rsidRPr="00652F48">
              <w:rPr>
                <w:rFonts w:ascii="Times New Roman" w:eastAsia="Times New Roman" w:hAnsi="Times New Roman" w:cs="Times New Roman"/>
                <w:lang w:eastAsia="es-ES"/>
              </w:rPr>
              <w:t>764</w:t>
            </w:r>
          </w:p>
        </w:tc>
        <w:tc>
          <w:tcPr>
            <w:tcW w:w="631" w:type="pct"/>
            <w:tcBorders>
              <w:top w:val="nil"/>
              <w:left w:val="nil"/>
              <w:right w:val="nil"/>
            </w:tcBorders>
            <w:vAlign w:val="bottom"/>
          </w:tcPr>
          <w:p w:rsidR="0032377B" w:rsidRPr="00652F48" w:rsidRDefault="00DD32B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w:t>
            </w:r>
            <w:r w:rsidR="0032377B" w:rsidRPr="00652F48">
              <w:rPr>
                <w:rFonts w:ascii="Times New Roman" w:eastAsia="Times New Roman" w:hAnsi="Times New Roman" w:cs="Times New Roman"/>
                <w:lang w:eastAsia="es-ES"/>
              </w:rPr>
              <w:t>0.013898</w:t>
            </w:r>
          </w:p>
        </w:tc>
        <w:tc>
          <w:tcPr>
            <w:tcW w:w="530" w:type="pct"/>
            <w:tcBorders>
              <w:top w:val="nil"/>
              <w:left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0.212345</w:t>
            </w:r>
          </w:p>
        </w:tc>
        <w:tc>
          <w:tcPr>
            <w:tcW w:w="530" w:type="pct"/>
            <w:tcBorders>
              <w:top w:val="nil"/>
              <w:left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w:t>
            </w:r>
            <w:r w:rsidR="00B2796A" w:rsidRPr="00652F48">
              <w:rPr>
                <w:rFonts w:ascii="Times New Roman" w:eastAsia="Times New Roman" w:hAnsi="Times New Roman" w:cs="Times New Roman"/>
                <w:lang w:eastAsia="es-ES"/>
              </w:rPr>
              <w:t>29</w:t>
            </w:r>
            <w:r w:rsidRPr="00652F48">
              <w:rPr>
                <w:rFonts w:ascii="Times New Roman" w:eastAsia="Times New Roman" w:hAnsi="Times New Roman" w:cs="Times New Roman"/>
                <w:lang w:eastAsia="es-ES"/>
              </w:rPr>
              <w:t>2679</w:t>
            </w:r>
          </w:p>
        </w:tc>
        <w:tc>
          <w:tcPr>
            <w:tcW w:w="488" w:type="pct"/>
            <w:tcBorders>
              <w:top w:val="nil"/>
              <w:left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0.040976</w:t>
            </w:r>
          </w:p>
        </w:tc>
        <w:tc>
          <w:tcPr>
            <w:tcW w:w="488" w:type="pct"/>
            <w:tcBorders>
              <w:top w:val="nil"/>
              <w:left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1.000000</w:t>
            </w: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xml:space="preserve">                    </w:t>
            </w:r>
          </w:p>
        </w:tc>
        <w:tc>
          <w:tcPr>
            <w:tcW w:w="537" w:type="pct"/>
            <w:tcBorders>
              <w:top w:val="nil"/>
              <w:left w:val="single" w:sz="8" w:space="0" w:color="auto"/>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(0.0000)</w:t>
            </w:r>
          </w:p>
        </w:tc>
        <w:tc>
          <w:tcPr>
            <w:tcW w:w="531"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(0.0051)</w:t>
            </w:r>
          </w:p>
        </w:tc>
        <w:tc>
          <w:tcPr>
            <w:tcW w:w="530"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(0.9338)</w:t>
            </w:r>
          </w:p>
        </w:tc>
        <w:tc>
          <w:tcPr>
            <w:tcW w:w="631"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(0.8818)</w:t>
            </w:r>
          </w:p>
        </w:tc>
        <w:tc>
          <w:tcPr>
            <w:tcW w:w="530"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(0.0215)</w:t>
            </w:r>
          </w:p>
        </w:tc>
        <w:tc>
          <w:tcPr>
            <w:tcW w:w="530"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(0.0006)</w:t>
            </w:r>
          </w:p>
        </w:tc>
        <w:tc>
          <w:tcPr>
            <w:tcW w:w="488"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(0.6609)</w:t>
            </w:r>
          </w:p>
        </w:tc>
        <w:tc>
          <w:tcPr>
            <w:tcW w:w="488" w:type="pct"/>
            <w:tcBorders>
              <w:top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w:t>
            </w:r>
          </w:p>
        </w:tc>
      </w:tr>
      <w:tr w:rsidR="00DD32BB" w:rsidRPr="00652F48" w:rsidTr="00B2796A">
        <w:trPr>
          <w:trHeight w:val="220"/>
          <w:jc w:val="center"/>
        </w:trPr>
        <w:tc>
          <w:tcPr>
            <w:tcW w:w="734" w:type="pct"/>
            <w:gridSpan w:val="2"/>
            <w:tcBorders>
              <w:top w:val="nil"/>
              <w:left w:val="nil"/>
              <w:bottom w:val="nil"/>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531"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530"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631"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530"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530"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488" w:type="pct"/>
            <w:tcBorders>
              <w:top w:val="nil"/>
              <w:bottom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488" w:type="pct"/>
            <w:tcBorders>
              <w:top w:val="nil"/>
              <w:bottom w:val="nil"/>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r>
      <w:tr w:rsidR="00DD32BB" w:rsidRPr="00652F48" w:rsidTr="00B2796A">
        <w:trPr>
          <w:trHeight w:val="220"/>
          <w:jc w:val="center"/>
        </w:trPr>
        <w:tc>
          <w:tcPr>
            <w:tcW w:w="734" w:type="pct"/>
            <w:gridSpan w:val="2"/>
            <w:tcBorders>
              <w:top w:val="nil"/>
              <w:left w:val="nil"/>
              <w:bottom w:val="single" w:sz="8" w:space="0" w:color="auto"/>
              <w:right w:val="single" w:sz="8" w:space="0" w:color="auto"/>
            </w:tcBorders>
            <w:vAlign w:val="bottom"/>
          </w:tcPr>
          <w:p w:rsidR="0032377B" w:rsidRPr="00652F48" w:rsidRDefault="0032377B" w:rsidP="00652F48">
            <w:pPr>
              <w:spacing w:line="360" w:lineRule="auto"/>
              <w:jc w:val="center"/>
              <w:rPr>
                <w:rFonts w:ascii="Times New Roman" w:eastAsia="Times New Roman" w:hAnsi="Times New Roman" w:cs="Times New Roman"/>
                <w:lang w:eastAsia="es-ES"/>
              </w:rPr>
            </w:pPr>
          </w:p>
        </w:tc>
        <w:tc>
          <w:tcPr>
            <w:tcW w:w="537" w:type="pct"/>
            <w:tcBorders>
              <w:top w:val="nil"/>
              <w:left w:val="single" w:sz="8" w:space="0" w:color="auto"/>
              <w:bottom w:val="single" w:sz="8" w:space="0" w:color="auto"/>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531" w:type="pct"/>
            <w:tcBorders>
              <w:top w:val="nil"/>
              <w:bottom w:val="single" w:sz="8" w:space="0" w:color="auto"/>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530" w:type="pct"/>
            <w:tcBorders>
              <w:top w:val="nil"/>
              <w:bottom w:val="single" w:sz="8" w:space="0" w:color="auto"/>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631" w:type="pct"/>
            <w:tcBorders>
              <w:top w:val="nil"/>
              <w:bottom w:val="single" w:sz="8" w:space="0" w:color="auto"/>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530" w:type="pct"/>
            <w:tcBorders>
              <w:top w:val="nil"/>
              <w:bottom w:val="single" w:sz="8" w:space="0" w:color="auto"/>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530" w:type="pct"/>
            <w:tcBorders>
              <w:top w:val="nil"/>
              <w:bottom w:val="single" w:sz="8" w:space="0" w:color="auto"/>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488" w:type="pct"/>
            <w:tcBorders>
              <w:top w:val="nil"/>
              <w:bottom w:val="single" w:sz="8" w:space="0" w:color="auto"/>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c>
          <w:tcPr>
            <w:tcW w:w="488" w:type="pct"/>
            <w:tcBorders>
              <w:top w:val="nil"/>
              <w:bottom w:val="single" w:sz="8" w:space="0" w:color="auto"/>
              <w:right w:val="nil"/>
            </w:tcBorders>
            <w:vAlign w:val="bottom"/>
          </w:tcPr>
          <w:p w:rsidR="0032377B" w:rsidRPr="00652F48" w:rsidRDefault="0032377B" w:rsidP="00652F48">
            <w:pPr>
              <w:spacing w:line="360" w:lineRule="auto"/>
              <w:ind w:right="20"/>
              <w:jc w:val="right"/>
              <w:rPr>
                <w:rFonts w:ascii="Times New Roman" w:eastAsia="Times New Roman" w:hAnsi="Times New Roman" w:cs="Times New Roman"/>
                <w:lang w:eastAsia="es-ES"/>
              </w:rPr>
            </w:pPr>
          </w:p>
        </w:tc>
      </w:tr>
    </w:tbl>
    <w:p w:rsidR="005E49E5" w:rsidRPr="00652F48" w:rsidRDefault="005E49E5" w:rsidP="00652F48">
      <w:pPr>
        <w:spacing w:line="360" w:lineRule="auto"/>
        <w:jc w:val="both"/>
        <w:rPr>
          <w:rFonts w:ascii="Times New Roman" w:hAnsi="Times New Roman" w:cs="Times New Roman"/>
          <w:lang w:val="es-ES"/>
        </w:rPr>
      </w:pPr>
    </w:p>
    <w:p w:rsidR="005E49E5" w:rsidRPr="00652F48" w:rsidRDefault="005E49E5" w:rsidP="00652F48">
      <w:pPr>
        <w:spacing w:line="360" w:lineRule="auto"/>
        <w:jc w:val="both"/>
        <w:rPr>
          <w:rFonts w:ascii="Times New Roman" w:hAnsi="Times New Roman" w:cs="Times New Roman"/>
          <w:lang w:val="es-ES"/>
        </w:rPr>
      </w:pPr>
    </w:p>
    <w:p w:rsidR="005E49E5" w:rsidRPr="00652F48" w:rsidRDefault="005E49E5" w:rsidP="00652F48">
      <w:pPr>
        <w:pStyle w:val="Textoindependiente"/>
        <w:spacing w:line="360" w:lineRule="auto"/>
        <w:jc w:val="both"/>
        <w:rPr>
          <w:rFonts w:ascii="Times New Roman" w:hAnsi="Times New Roman" w:cs="Times New Roman"/>
          <w:i/>
          <w:sz w:val="22"/>
          <w:szCs w:val="22"/>
          <w:lang w:val="es-ES"/>
        </w:rPr>
      </w:pPr>
      <w:r w:rsidRPr="00652F48">
        <w:rPr>
          <w:rFonts w:ascii="Times New Roman" w:hAnsi="Times New Roman" w:cs="Times New Roman"/>
          <w:i/>
          <w:sz w:val="22"/>
          <w:szCs w:val="22"/>
          <w:lang w:val="es-ES"/>
        </w:rPr>
        <w:lastRenderedPageBreak/>
        <w:t>4.2 Estimaciones</w:t>
      </w:r>
    </w:p>
    <w:p w:rsidR="005E49E5" w:rsidRPr="00652F48" w:rsidRDefault="005E49E5" w:rsidP="00652F48">
      <w:pPr>
        <w:pStyle w:val="Textoindependiente"/>
        <w:spacing w:line="360" w:lineRule="auto"/>
        <w:ind w:left="1440"/>
        <w:jc w:val="both"/>
        <w:rPr>
          <w:rFonts w:ascii="Times New Roman" w:hAnsi="Times New Roman" w:cs="Times New Roman"/>
          <w:b/>
          <w:sz w:val="22"/>
          <w:szCs w:val="22"/>
          <w:lang w:val="es-ES"/>
        </w:rPr>
      </w:pP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En esta subsección se presenta la estimación del modelo propuesto en (1) y se lleva a cabo la discusión de los resultados, los que se presentan en la Tabla 4.</w:t>
      </w:r>
    </w:p>
    <w:p w:rsidR="003545B8" w:rsidRPr="00652F48" w:rsidRDefault="003545B8" w:rsidP="00652F48">
      <w:pPr>
        <w:pStyle w:val="Textoindependiente"/>
        <w:spacing w:line="360" w:lineRule="auto"/>
        <w:ind w:firstLine="708"/>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Se estiman dos modelos, pero sólo se considera el análisis de resultados desde </w:t>
      </w:r>
      <w:r w:rsidR="00B1616E" w:rsidRPr="00652F48">
        <w:rPr>
          <w:rFonts w:ascii="Times New Roman" w:hAnsi="Times New Roman" w:cs="Times New Roman"/>
          <w:sz w:val="22"/>
          <w:szCs w:val="22"/>
          <w:lang w:val="es-ES"/>
        </w:rPr>
        <w:t>la segunda estimación del</w:t>
      </w:r>
      <w:r w:rsidRPr="00652F48">
        <w:rPr>
          <w:rFonts w:ascii="Times New Roman" w:hAnsi="Times New Roman" w:cs="Times New Roman"/>
          <w:sz w:val="22"/>
          <w:szCs w:val="22"/>
          <w:lang w:val="es-ES"/>
        </w:rPr>
        <w:t xml:space="preserve"> modelo </w:t>
      </w:r>
      <w:r w:rsidR="005156FE" w:rsidRPr="00652F48">
        <w:rPr>
          <w:rFonts w:ascii="Times New Roman" w:hAnsi="Times New Roman" w:cs="Times New Roman"/>
          <w:i/>
          <w:sz w:val="22"/>
          <w:szCs w:val="22"/>
          <w:lang w:val="es-ES"/>
        </w:rPr>
        <w:t>one</w:t>
      </w:r>
      <w:r w:rsidRPr="00652F48">
        <w:rPr>
          <w:rFonts w:ascii="Times New Roman" w:hAnsi="Times New Roman" w:cs="Times New Roman"/>
          <w:i/>
          <w:sz w:val="22"/>
          <w:szCs w:val="22"/>
          <w:lang w:val="es-ES"/>
        </w:rPr>
        <w:t xml:space="preserve"> way</w:t>
      </w:r>
      <w:r w:rsidR="00B1616E" w:rsidRPr="00652F48">
        <w:rPr>
          <w:rFonts w:ascii="Times New Roman" w:hAnsi="Times New Roman" w:cs="Times New Roman"/>
          <w:i/>
          <w:sz w:val="22"/>
          <w:szCs w:val="22"/>
          <w:lang w:val="es-ES"/>
        </w:rPr>
        <w:t xml:space="preserve"> (GLS)</w:t>
      </w:r>
      <w:r w:rsidRPr="00652F48">
        <w:rPr>
          <w:rFonts w:ascii="Times New Roman" w:hAnsi="Times New Roman" w:cs="Times New Roman"/>
          <w:sz w:val="22"/>
          <w:szCs w:val="22"/>
          <w:lang w:val="es-ES"/>
        </w:rPr>
        <w:t xml:space="preserve">, dado que el </w:t>
      </w:r>
      <w:r w:rsidR="00B1616E" w:rsidRPr="00652F48">
        <w:rPr>
          <w:rFonts w:ascii="Times New Roman" w:hAnsi="Times New Roman" w:cs="Times New Roman"/>
          <w:sz w:val="22"/>
          <w:szCs w:val="22"/>
          <w:lang w:val="es-ES"/>
        </w:rPr>
        <w:t xml:space="preserve">modelo </w:t>
      </w:r>
      <w:r w:rsidR="00B1616E" w:rsidRPr="00652F48">
        <w:rPr>
          <w:rFonts w:ascii="Times New Roman" w:hAnsi="Times New Roman" w:cs="Times New Roman"/>
          <w:i/>
          <w:sz w:val="22"/>
          <w:szCs w:val="22"/>
          <w:lang w:val="es-ES"/>
        </w:rPr>
        <w:t>two</w:t>
      </w:r>
      <w:r w:rsidRPr="00652F48">
        <w:rPr>
          <w:rFonts w:ascii="Times New Roman" w:hAnsi="Times New Roman" w:cs="Times New Roman"/>
          <w:i/>
          <w:sz w:val="22"/>
          <w:szCs w:val="22"/>
          <w:lang w:val="es-ES"/>
        </w:rPr>
        <w:t xml:space="preserve"> way</w:t>
      </w:r>
      <w:r w:rsidRPr="00652F48">
        <w:rPr>
          <w:rFonts w:ascii="Times New Roman" w:hAnsi="Times New Roman" w:cs="Times New Roman"/>
          <w:sz w:val="22"/>
          <w:szCs w:val="22"/>
          <w:lang w:val="es-ES"/>
        </w:rPr>
        <w:t xml:space="preserve"> carece de normalidad bajo las dos estimaciones alternativas (</w:t>
      </w:r>
      <w:r w:rsidRPr="00652F48">
        <w:rPr>
          <w:rFonts w:ascii="Times New Roman" w:hAnsi="Times New Roman" w:cs="Times New Roman"/>
          <w:i/>
          <w:sz w:val="22"/>
          <w:szCs w:val="22"/>
          <w:lang w:val="es-ES"/>
        </w:rPr>
        <w:t xml:space="preserve">LS y </w:t>
      </w:r>
      <w:r w:rsidR="00B1616E" w:rsidRPr="00652F48">
        <w:rPr>
          <w:rFonts w:ascii="Times New Roman" w:hAnsi="Times New Roman" w:cs="Times New Roman"/>
          <w:i/>
          <w:sz w:val="22"/>
          <w:szCs w:val="22"/>
          <w:lang w:val="es-ES"/>
        </w:rPr>
        <w:t>PC</w:t>
      </w:r>
      <w:r w:rsidRPr="00652F48">
        <w:rPr>
          <w:rFonts w:ascii="Times New Roman" w:hAnsi="Times New Roman" w:cs="Times New Roman"/>
          <w:i/>
          <w:sz w:val="22"/>
          <w:szCs w:val="22"/>
          <w:lang w:val="es-ES"/>
        </w:rPr>
        <w:t>S</w:t>
      </w:r>
      <w:r w:rsidR="00B1616E" w:rsidRPr="00652F48">
        <w:rPr>
          <w:rFonts w:ascii="Times New Roman" w:hAnsi="Times New Roman" w:cs="Times New Roman"/>
          <w:i/>
          <w:sz w:val="22"/>
          <w:szCs w:val="22"/>
          <w:lang w:val="es-ES"/>
        </w:rPr>
        <w:t>E</w:t>
      </w:r>
      <w:r w:rsidRPr="00652F48">
        <w:rPr>
          <w:rFonts w:ascii="Times New Roman" w:hAnsi="Times New Roman" w:cs="Times New Roman"/>
          <w:sz w:val="22"/>
          <w:szCs w:val="22"/>
          <w:lang w:val="es-ES"/>
        </w:rPr>
        <w:t xml:space="preserve">). </w:t>
      </w:r>
    </w:p>
    <w:p w:rsidR="003545B8" w:rsidRPr="00652F48" w:rsidRDefault="003545B8"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ab/>
        <w:t xml:space="preserve">El modelo </w:t>
      </w:r>
      <w:r w:rsidR="00B1616E" w:rsidRPr="00652F48">
        <w:rPr>
          <w:rFonts w:ascii="Times New Roman" w:hAnsi="Times New Roman" w:cs="Times New Roman"/>
          <w:i/>
          <w:sz w:val="22"/>
          <w:szCs w:val="22"/>
          <w:lang w:val="es-ES"/>
        </w:rPr>
        <w:t>one</w:t>
      </w:r>
      <w:r w:rsidRPr="00652F48">
        <w:rPr>
          <w:rFonts w:ascii="Times New Roman" w:hAnsi="Times New Roman" w:cs="Times New Roman"/>
          <w:i/>
          <w:sz w:val="22"/>
          <w:szCs w:val="22"/>
          <w:lang w:val="es-ES"/>
        </w:rPr>
        <w:t xml:space="preserve"> way </w:t>
      </w:r>
      <w:r w:rsidRPr="00652F48">
        <w:rPr>
          <w:rFonts w:ascii="Times New Roman" w:hAnsi="Times New Roman" w:cs="Times New Roman"/>
          <w:sz w:val="22"/>
          <w:szCs w:val="22"/>
          <w:lang w:val="es-ES"/>
        </w:rPr>
        <w:t>es estimado primero por Mínimos Cuadrados Ordinarios -</w:t>
      </w:r>
      <w:r w:rsidRPr="00652F48">
        <w:rPr>
          <w:rFonts w:ascii="Times New Roman" w:hAnsi="Times New Roman" w:cs="Times New Roman"/>
          <w:i/>
          <w:sz w:val="22"/>
          <w:szCs w:val="22"/>
          <w:lang w:val="es-ES"/>
        </w:rPr>
        <w:t>MCO</w:t>
      </w:r>
      <w:r w:rsidRPr="00652F48">
        <w:rPr>
          <w:rFonts w:ascii="Times New Roman" w:hAnsi="Times New Roman" w:cs="Times New Roman"/>
          <w:sz w:val="22"/>
          <w:szCs w:val="22"/>
          <w:lang w:val="es-ES"/>
        </w:rPr>
        <w:t>- (</w:t>
      </w:r>
      <w:r w:rsidRPr="00652F48">
        <w:rPr>
          <w:rFonts w:ascii="Times New Roman" w:hAnsi="Times New Roman" w:cs="Times New Roman"/>
          <w:i/>
          <w:sz w:val="22"/>
          <w:szCs w:val="22"/>
          <w:lang w:val="es-ES"/>
        </w:rPr>
        <w:t xml:space="preserve">LS - </w:t>
      </w:r>
      <w:proofErr w:type="spellStart"/>
      <w:r w:rsidRPr="00652F48">
        <w:rPr>
          <w:rFonts w:ascii="Times New Roman" w:hAnsi="Times New Roman" w:cs="Times New Roman"/>
          <w:i/>
          <w:sz w:val="22"/>
          <w:szCs w:val="22"/>
          <w:lang w:val="es-ES"/>
        </w:rPr>
        <w:t>Last</w:t>
      </w:r>
      <w:proofErr w:type="spellEnd"/>
      <w:r w:rsidRPr="00652F48">
        <w:rPr>
          <w:rFonts w:ascii="Times New Roman" w:hAnsi="Times New Roman" w:cs="Times New Roman"/>
          <w:i/>
          <w:sz w:val="22"/>
          <w:szCs w:val="22"/>
          <w:lang w:val="es-ES"/>
        </w:rPr>
        <w:t xml:space="preserve"> </w:t>
      </w:r>
      <w:proofErr w:type="spellStart"/>
      <w:r w:rsidRPr="00652F48">
        <w:rPr>
          <w:rFonts w:ascii="Times New Roman" w:hAnsi="Times New Roman" w:cs="Times New Roman"/>
          <w:i/>
          <w:sz w:val="22"/>
          <w:szCs w:val="22"/>
          <w:lang w:val="es-ES"/>
        </w:rPr>
        <w:t>Squares</w:t>
      </w:r>
      <w:proofErr w:type="spellEnd"/>
      <w:r w:rsidRPr="00652F48">
        <w:rPr>
          <w:rFonts w:ascii="Times New Roman" w:hAnsi="Times New Roman" w:cs="Times New Roman"/>
          <w:sz w:val="22"/>
          <w:szCs w:val="22"/>
          <w:lang w:val="es-ES"/>
        </w:rPr>
        <w:t xml:space="preserve">) y luego por el procedimiento de </w:t>
      </w:r>
      <w:r w:rsidR="00B1616E" w:rsidRPr="00652F48">
        <w:rPr>
          <w:rFonts w:ascii="Times New Roman" w:hAnsi="Times New Roman" w:cs="Times New Roman"/>
          <w:sz w:val="22"/>
          <w:szCs w:val="22"/>
          <w:lang w:val="es-ES"/>
        </w:rPr>
        <w:t>Mínimos Cuadrados Generalizados</w:t>
      </w:r>
      <w:r w:rsidRPr="00652F48">
        <w:rPr>
          <w:rFonts w:ascii="Times New Roman" w:hAnsi="Times New Roman" w:cs="Times New Roman"/>
          <w:sz w:val="22"/>
          <w:szCs w:val="22"/>
          <w:lang w:val="es-ES"/>
        </w:rPr>
        <w:t xml:space="preserve"> (</w:t>
      </w:r>
      <w:r w:rsidR="00B1616E" w:rsidRPr="00652F48">
        <w:rPr>
          <w:rFonts w:ascii="Times New Roman" w:hAnsi="Times New Roman" w:cs="Times New Roman"/>
          <w:i/>
          <w:sz w:val="22"/>
          <w:szCs w:val="22"/>
          <w:lang w:val="es-ES"/>
        </w:rPr>
        <w:t>GLS</w:t>
      </w:r>
      <w:r w:rsidRPr="00652F48">
        <w:rPr>
          <w:rFonts w:ascii="Times New Roman" w:hAnsi="Times New Roman" w:cs="Times New Roman"/>
          <w:i/>
          <w:sz w:val="22"/>
          <w:szCs w:val="22"/>
          <w:lang w:val="es-ES"/>
        </w:rPr>
        <w:t xml:space="preserve"> </w:t>
      </w:r>
      <w:r w:rsidR="00B1616E" w:rsidRPr="00652F48">
        <w:rPr>
          <w:rFonts w:ascii="Times New Roman" w:hAnsi="Times New Roman" w:cs="Times New Roman"/>
          <w:i/>
          <w:sz w:val="22"/>
          <w:szCs w:val="22"/>
          <w:lang w:val="es-ES"/>
        </w:rPr>
        <w:t>–</w:t>
      </w:r>
      <w:r w:rsidRPr="00652F48">
        <w:rPr>
          <w:rFonts w:ascii="Times New Roman" w:hAnsi="Times New Roman" w:cs="Times New Roman"/>
          <w:i/>
          <w:sz w:val="22"/>
          <w:szCs w:val="22"/>
          <w:lang w:val="es-ES"/>
        </w:rPr>
        <w:t xml:space="preserve"> </w:t>
      </w:r>
      <w:r w:rsidR="00B1616E" w:rsidRPr="00652F48">
        <w:rPr>
          <w:rFonts w:ascii="Times New Roman" w:hAnsi="Times New Roman" w:cs="Times New Roman"/>
          <w:i/>
          <w:sz w:val="22"/>
          <w:szCs w:val="22"/>
          <w:lang w:val="es-ES"/>
        </w:rPr>
        <w:t xml:space="preserve">Generalised </w:t>
      </w:r>
      <w:proofErr w:type="spellStart"/>
      <w:r w:rsidR="00B1616E" w:rsidRPr="00652F48">
        <w:rPr>
          <w:rFonts w:ascii="Times New Roman" w:hAnsi="Times New Roman" w:cs="Times New Roman"/>
          <w:i/>
          <w:sz w:val="22"/>
          <w:szCs w:val="22"/>
          <w:lang w:val="es-ES"/>
        </w:rPr>
        <w:t>Last</w:t>
      </w:r>
      <w:proofErr w:type="spellEnd"/>
      <w:r w:rsidR="00B1616E" w:rsidRPr="00652F48">
        <w:rPr>
          <w:rFonts w:ascii="Times New Roman" w:hAnsi="Times New Roman" w:cs="Times New Roman"/>
          <w:i/>
          <w:sz w:val="22"/>
          <w:szCs w:val="22"/>
          <w:lang w:val="es-ES"/>
        </w:rPr>
        <w:t xml:space="preserve"> </w:t>
      </w:r>
      <w:proofErr w:type="spellStart"/>
      <w:r w:rsidR="00B1616E" w:rsidRPr="00652F48">
        <w:rPr>
          <w:rFonts w:ascii="Times New Roman" w:hAnsi="Times New Roman" w:cs="Times New Roman"/>
          <w:i/>
          <w:sz w:val="22"/>
          <w:szCs w:val="22"/>
          <w:lang w:val="es-ES"/>
        </w:rPr>
        <w:t>Squares</w:t>
      </w:r>
      <w:proofErr w:type="spellEnd"/>
      <w:r w:rsidRPr="00652F48">
        <w:rPr>
          <w:rFonts w:ascii="Times New Roman" w:hAnsi="Times New Roman" w:cs="Times New Roman"/>
          <w:sz w:val="22"/>
          <w:szCs w:val="22"/>
          <w:lang w:val="es-ES"/>
        </w:rPr>
        <w:t>)</w:t>
      </w:r>
      <w:r w:rsidR="00B1616E" w:rsidRPr="00652F48">
        <w:rPr>
          <w:rFonts w:ascii="Times New Roman" w:hAnsi="Times New Roman" w:cs="Times New Roman"/>
          <w:sz w:val="22"/>
          <w:szCs w:val="22"/>
          <w:lang w:val="es-ES"/>
        </w:rPr>
        <w:t xml:space="preserve"> dado que el procedimiento de estimación por </w:t>
      </w:r>
      <w:r w:rsidR="00B1616E" w:rsidRPr="00652F48">
        <w:rPr>
          <w:rFonts w:ascii="Times New Roman" w:hAnsi="Times New Roman" w:cs="Times New Roman"/>
          <w:i/>
          <w:sz w:val="22"/>
          <w:szCs w:val="22"/>
          <w:lang w:val="es-ES"/>
        </w:rPr>
        <w:t>LS</w:t>
      </w:r>
      <w:r w:rsidR="00B1616E" w:rsidRPr="00652F48">
        <w:rPr>
          <w:rFonts w:ascii="Times New Roman" w:hAnsi="Times New Roman" w:cs="Times New Roman"/>
          <w:sz w:val="22"/>
          <w:szCs w:val="22"/>
          <w:lang w:val="es-ES"/>
        </w:rPr>
        <w:t xml:space="preserve"> conduce a problemas de dependencia entre las secciones cruzadas</w:t>
      </w:r>
      <w:r w:rsidR="00785C1B" w:rsidRPr="00652F48">
        <w:rPr>
          <w:rFonts w:ascii="Times New Roman" w:hAnsi="Times New Roman" w:cs="Times New Roman"/>
          <w:sz w:val="22"/>
          <w:szCs w:val="22"/>
          <w:lang w:val="es-ES"/>
        </w:rPr>
        <w:t>, como se muestra en la Tabla 4</w:t>
      </w:r>
      <w:r w:rsidR="00B1616E" w:rsidRPr="00652F48">
        <w:rPr>
          <w:rFonts w:ascii="Times New Roman" w:hAnsi="Times New Roman" w:cs="Times New Roman"/>
          <w:sz w:val="22"/>
          <w:szCs w:val="22"/>
          <w:lang w:val="es-ES"/>
        </w:rPr>
        <w:t>.</w:t>
      </w:r>
      <w:r w:rsidRPr="00652F48">
        <w:rPr>
          <w:rFonts w:ascii="Times New Roman" w:hAnsi="Times New Roman" w:cs="Times New Roman"/>
          <w:sz w:val="22"/>
          <w:szCs w:val="22"/>
          <w:lang w:val="es-ES"/>
        </w:rPr>
        <w:t xml:space="preserve"> En este contexto, y siguiendo las recomendaciones de Beck y </w:t>
      </w:r>
      <w:proofErr w:type="spellStart"/>
      <w:r w:rsidRPr="00652F48">
        <w:rPr>
          <w:rFonts w:ascii="Times New Roman" w:hAnsi="Times New Roman" w:cs="Times New Roman"/>
          <w:sz w:val="22"/>
          <w:szCs w:val="22"/>
          <w:lang w:val="es-ES"/>
        </w:rPr>
        <w:t>Katz</w:t>
      </w:r>
      <w:proofErr w:type="spellEnd"/>
      <w:r w:rsidRPr="00652F48">
        <w:rPr>
          <w:rFonts w:ascii="Times New Roman" w:hAnsi="Times New Roman" w:cs="Times New Roman"/>
          <w:sz w:val="22"/>
          <w:szCs w:val="22"/>
          <w:lang w:val="es-ES"/>
        </w:rPr>
        <w:t xml:space="preserve"> (1995), luego de estimar los efectos fijos de MCO se corrigen posteriormente los errores estándar para tenerlos en cuenta la estructura que da origen al problema de la parte residual. Dado que este es un procedimiento que incorpora una matriz con perturbaciones esféricas, la inferencia resulta adecuada en el caso de los modelos lineales. Es importante notar que la diferencia con el procedimiento de Mínimos Cuadrados Ordinarios estará dada en este caso particular sólo en el desvío estándar y no en los coeficientes estimados. En consecuencia, el análisis de resultados se referirá a este último caso (</w:t>
      </w:r>
      <w:r w:rsidR="00B1616E" w:rsidRPr="00652F48">
        <w:rPr>
          <w:rFonts w:ascii="Times New Roman" w:hAnsi="Times New Roman" w:cs="Times New Roman"/>
          <w:i/>
          <w:sz w:val="22"/>
          <w:szCs w:val="22"/>
          <w:lang w:val="es-ES"/>
        </w:rPr>
        <w:t>GLS</w:t>
      </w:r>
      <w:r w:rsidRPr="00652F48">
        <w:rPr>
          <w:rFonts w:ascii="Times New Roman" w:hAnsi="Times New Roman" w:cs="Times New Roman"/>
          <w:sz w:val="22"/>
          <w:szCs w:val="22"/>
          <w:lang w:val="es-ES"/>
        </w:rPr>
        <w:t>).</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
    <w:p w:rsidR="005E49E5" w:rsidRPr="00652F48" w:rsidRDefault="005E49E5" w:rsidP="00652F48">
      <w:pPr>
        <w:spacing w:line="360" w:lineRule="auto"/>
        <w:jc w:val="both"/>
        <w:rPr>
          <w:rFonts w:ascii="Times New Roman" w:eastAsiaTheme="minorEastAsia" w:hAnsi="Times New Roman" w:cs="Times New Roman"/>
          <w:b/>
          <w:lang w:val="es-ES"/>
        </w:rPr>
      </w:pPr>
      <w:r w:rsidRPr="00652F48">
        <w:rPr>
          <w:rFonts w:ascii="Times New Roman" w:eastAsiaTheme="minorEastAsia" w:hAnsi="Times New Roman" w:cs="Times New Roman"/>
          <w:b/>
          <w:lang w:val="es-ES"/>
        </w:rPr>
        <w:t xml:space="preserve">Tabla 4: Estimaciones del modelo </w:t>
      </w:r>
    </w:p>
    <w:tbl>
      <w:tblPr>
        <w:tblW w:w="5000" w:type="pct"/>
        <w:tblLook w:val="04A0"/>
      </w:tblPr>
      <w:tblGrid>
        <w:gridCol w:w="2187"/>
        <w:gridCol w:w="1632"/>
        <w:gridCol w:w="1636"/>
        <w:gridCol w:w="1634"/>
        <w:gridCol w:w="1631"/>
      </w:tblGrid>
      <w:tr w:rsidR="005E49E5" w:rsidRPr="00652F48" w:rsidTr="00AC168E">
        <w:trPr>
          <w:trHeight w:val="492"/>
        </w:trPr>
        <w:tc>
          <w:tcPr>
            <w:tcW w:w="1254" w:type="pct"/>
            <w:vMerge w:val="restart"/>
            <w:tcBorders>
              <w:top w:val="single" w:sz="8" w:space="0" w:color="auto"/>
            </w:tcBorders>
            <w:vAlign w:val="center"/>
          </w:tcPr>
          <w:p w:rsidR="005E49E5" w:rsidRPr="00652F48" w:rsidRDefault="005E49E5"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Regresores</w:t>
            </w:r>
          </w:p>
        </w:tc>
        <w:tc>
          <w:tcPr>
            <w:tcW w:w="1874" w:type="pct"/>
            <w:gridSpan w:val="2"/>
            <w:tcBorders>
              <w:top w:val="single" w:sz="8" w:space="0" w:color="auto"/>
              <w:bottom w:val="single" w:sz="8" w:space="0" w:color="auto"/>
            </w:tcBorders>
            <w:vAlign w:val="center"/>
          </w:tcPr>
          <w:p w:rsidR="005E49E5" w:rsidRPr="00652F48" w:rsidRDefault="005E49E5"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 xml:space="preserve">Modelo </w:t>
            </w:r>
            <w:r w:rsidRPr="00652F48">
              <w:rPr>
                <w:rFonts w:ascii="Times New Roman" w:eastAsia="Times New Roman" w:hAnsi="Times New Roman" w:cs="Times New Roman"/>
                <w:b/>
                <w:i/>
                <w:lang w:eastAsia="es-ES"/>
              </w:rPr>
              <w:t>one way</w:t>
            </w:r>
          </w:p>
        </w:tc>
        <w:tc>
          <w:tcPr>
            <w:tcW w:w="1872" w:type="pct"/>
            <w:gridSpan w:val="2"/>
            <w:tcBorders>
              <w:top w:val="single" w:sz="8" w:space="0" w:color="auto"/>
              <w:bottom w:val="single" w:sz="8" w:space="0" w:color="auto"/>
            </w:tcBorders>
            <w:vAlign w:val="center"/>
          </w:tcPr>
          <w:p w:rsidR="005E49E5" w:rsidRPr="00652F48" w:rsidRDefault="005E49E5" w:rsidP="00652F48">
            <w:pPr>
              <w:spacing w:line="360" w:lineRule="auto"/>
              <w:jc w:val="center"/>
              <w:rPr>
                <w:rFonts w:ascii="Times New Roman" w:eastAsia="Times New Roman" w:hAnsi="Times New Roman" w:cs="Times New Roman"/>
                <w:b/>
                <w:lang w:eastAsia="es-ES"/>
              </w:rPr>
            </w:pPr>
            <w:r w:rsidRPr="00652F48">
              <w:rPr>
                <w:rFonts w:ascii="Times New Roman" w:eastAsia="Times New Roman" w:hAnsi="Times New Roman" w:cs="Times New Roman"/>
                <w:b/>
                <w:lang w:eastAsia="es-ES"/>
              </w:rPr>
              <w:t xml:space="preserve">Modelo </w:t>
            </w:r>
            <w:r w:rsidRPr="00652F48">
              <w:rPr>
                <w:rFonts w:ascii="Times New Roman" w:eastAsia="Times New Roman" w:hAnsi="Times New Roman" w:cs="Times New Roman"/>
                <w:b/>
                <w:i/>
                <w:lang w:eastAsia="es-ES"/>
              </w:rPr>
              <w:t>two way</w:t>
            </w:r>
          </w:p>
        </w:tc>
      </w:tr>
      <w:tr w:rsidR="005E49E5" w:rsidRPr="00652F48" w:rsidTr="00AC168E">
        <w:tc>
          <w:tcPr>
            <w:tcW w:w="1254" w:type="pct"/>
            <w:vMerge/>
            <w:tcBorders>
              <w:bottom w:val="single" w:sz="8" w:space="0" w:color="auto"/>
            </w:tcBorders>
            <w:vAlign w:val="bottom"/>
          </w:tcPr>
          <w:p w:rsidR="005E49E5" w:rsidRPr="00652F48" w:rsidRDefault="005E49E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tcBorders>
              <w:top w:val="single" w:sz="8" w:space="0" w:color="auto"/>
              <w:bottom w:val="single" w:sz="8" w:space="0" w:color="auto"/>
            </w:tcBorders>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LS</w:t>
            </w:r>
          </w:p>
        </w:tc>
        <w:tc>
          <w:tcPr>
            <w:tcW w:w="938" w:type="pct"/>
            <w:tcBorders>
              <w:top w:val="single" w:sz="8" w:space="0" w:color="auto"/>
              <w:bottom w:val="single" w:sz="8" w:space="0" w:color="auto"/>
            </w:tcBorders>
            <w:vAlign w:val="bottom"/>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GLS</w:t>
            </w:r>
          </w:p>
        </w:tc>
        <w:tc>
          <w:tcPr>
            <w:tcW w:w="937" w:type="pct"/>
            <w:tcBorders>
              <w:top w:val="single" w:sz="8" w:space="0" w:color="auto"/>
              <w:bottom w:val="single" w:sz="8" w:space="0" w:color="auto"/>
            </w:tcBorders>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LS</w:t>
            </w:r>
          </w:p>
        </w:tc>
        <w:tc>
          <w:tcPr>
            <w:tcW w:w="935" w:type="pct"/>
            <w:tcBorders>
              <w:top w:val="single" w:sz="8" w:space="0" w:color="auto"/>
              <w:bottom w:val="single" w:sz="8" w:space="0" w:color="auto"/>
            </w:tcBorders>
            <w:vAlign w:val="bottom"/>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PCSE</w:t>
            </w:r>
          </w:p>
        </w:tc>
      </w:tr>
      <w:tr w:rsidR="005E49E5" w:rsidRPr="00652F48" w:rsidTr="00AC168E">
        <w:tc>
          <w:tcPr>
            <w:tcW w:w="1254" w:type="pct"/>
            <w:tcBorders>
              <w:top w:val="single" w:sz="8" w:space="0" w:color="auto"/>
            </w:tcBorders>
            <w:vAlign w:val="bottom"/>
          </w:tcPr>
          <w:p w:rsidR="005E49E5" w:rsidRPr="00652F48" w:rsidRDefault="005E49E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tcBorders>
              <w:top w:val="single" w:sz="8" w:space="0" w:color="auto"/>
            </w:tcBorders>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tcBorders>
              <w:top w:val="single" w:sz="8" w:space="0" w:color="auto"/>
            </w:tcBorders>
            <w:vAlign w:val="bottom"/>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tcBorders>
              <w:top w:val="single" w:sz="8" w:space="0" w:color="auto"/>
            </w:tcBorders>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tcBorders>
              <w:top w:val="single" w:sz="8" w:space="0" w:color="auto"/>
            </w:tcBorders>
            <w:vAlign w:val="bottom"/>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Constante</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-139,118***</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-151,926***</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-11,586</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-11,586</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(24,130)</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(16,380)</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(20,980)</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(20,980)</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72BF1" w:rsidP="00652F48">
            <w:pPr>
              <w:autoSpaceDE w:val="0"/>
              <w:autoSpaceDN w:val="0"/>
              <w:adjustRightInd w:val="0"/>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TP</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-0.170**</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-0.138***</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-0,098*</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-0,098*</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(0.069)</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(0.037)</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(0,057)</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(0,057)</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DES</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-0.337*</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-0.221</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-0,265*</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-0,265*</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(0.195)</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(0.144)</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(0,153)</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(0,153)</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EV</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2,146***</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2,312***</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0.609**</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0.609**</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(0.283)</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(0.229)</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(0,283)</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(0,283)</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lastRenderedPageBreak/>
              <w:t>EG</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 xml:space="preserve">-0,177 </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0,348</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0,878</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0,878</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(1,957)</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(1,149)</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(1,607)</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(1,607)</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INF</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-0,052</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-0,018</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-0,367</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-0,367</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(0,118)</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(0,053)</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(0,102)</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(0,102)</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SAV</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-0.482***</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-0.347***</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-0,638***</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-0,638***</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(0.0,114)</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(0.083)</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(0,099)</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(0,099)</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FD</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0.3959***</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0.292***</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0,062</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0,062</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(0.194)</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(0.058)</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(0,153)</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(0,153)</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F</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3.351*</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5.072***</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(1.802)</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(1.301)</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tcBorders>
              <w:bottom w:val="single" w:sz="8" w:space="0" w:color="auto"/>
            </w:tcBorders>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tcBorders>
              <w:bottom w:val="single" w:sz="8" w:space="0" w:color="auto"/>
            </w:tcBorders>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tcBorders>
              <w:bottom w:val="single" w:sz="8" w:space="0" w:color="auto"/>
            </w:tcBorders>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tcBorders>
              <w:bottom w:val="single" w:sz="8" w:space="0" w:color="auto"/>
            </w:tcBorders>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tcBorders>
              <w:bottom w:val="single" w:sz="8" w:space="0" w:color="auto"/>
            </w:tcBorders>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R</w:t>
            </w:r>
            <w:r w:rsidRPr="00652F48">
              <w:rPr>
                <w:rFonts w:ascii="Times New Roman" w:eastAsia="Times New Roman" w:hAnsi="Times New Roman" w:cs="Times New Roman"/>
                <w:i/>
                <w:vertAlign w:val="superscript"/>
                <w:lang w:eastAsia="es-ES"/>
              </w:rPr>
              <w:t>2</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0,8839</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0,9653</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0,9407</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0,9407</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Jarque-Bera</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165.8160</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0.8432***</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336.3646</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336.3646</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Breush-Pagan LM</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142,65</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170.300</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F- Cross-section</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17,974***</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49,982***</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33.563***</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33.563***</w:t>
            </w: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466ED5" w:rsidRPr="00652F48" w:rsidTr="00AC168E">
        <w:tc>
          <w:tcPr>
            <w:tcW w:w="1254" w:type="pct"/>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r w:rsidRPr="00652F48">
              <w:rPr>
                <w:rFonts w:ascii="Times New Roman" w:eastAsia="Times New Roman" w:hAnsi="Times New Roman" w:cs="Times New Roman"/>
                <w:i/>
                <w:lang w:eastAsia="es-ES"/>
              </w:rPr>
              <w:t>F-Period</w:t>
            </w:r>
          </w:p>
        </w:tc>
        <w:tc>
          <w:tcPr>
            <w:tcW w:w="936"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w:t>
            </w:r>
          </w:p>
        </w:tc>
        <w:tc>
          <w:tcPr>
            <w:tcW w:w="938"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w:t>
            </w:r>
          </w:p>
        </w:tc>
        <w:tc>
          <w:tcPr>
            <w:tcW w:w="937"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116,164***</w:t>
            </w:r>
          </w:p>
        </w:tc>
        <w:tc>
          <w:tcPr>
            <w:tcW w:w="935" w:type="pct"/>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r w:rsidRPr="00652F48">
              <w:rPr>
                <w:rFonts w:ascii="Times New Roman" w:eastAsia="Times New Roman" w:hAnsi="Times New Roman" w:cs="Times New Roman"/>
                <w:lang w:eastAsia="es-ES"/>
              </w:rPr>
              <w:t>116,164***</w:t>
            </w:r>
          </w:p>
        </w:tc>
      </w:tr>
      <w:tr w:rsidR="00466ED5" w:rsidRPr="00652F48" w:rsidTr="00AC168E">
        <w:tc>
          <w:tcPr>
            <w:tcW w:w="1254" w:type="pct"/>
            <w:tcBorders>
              <w:bottom w:val="single" w:sz="8" w:space="0" w:color="auto"/>
            </w:tcBorders>
            <w:vAlign w:val="bottom"/>
          </w:tcPr>
          <w:p w:rsidR="00466ED5" w:rsidRPr="00652F48" w:rsidRDefault="00466ED5" w:rsidP="00652F48">
            <w:pPr>
              <w:autoSpaceDE w:val="0"/>
              <w:autoSpaceDN w:val="0"/>
              <w:adjustRightInd w:val="0"/>
              <w:spacing w:line="360" w:lineRule="auto"/>
              <w:jc w:val="center"/>
              <w:rPr>
                <w:rFonts w:ascii="Times New Roman" w:eastAsia="Times New Roman" w:hAnsi="Times New Roman" w:cs="Times New Roman"/>
                <w:i/>
                <w:lang w:eastAsia="es-ES"/>
              </w:rPr>
            </w:pPr>
          </w:p>
        </w:tc>
        <w:tc>
          <w:tcPr>
            <w:tcW w:w="936" w:type="pct"/>
            <w:tcBorders>
              <w:bottom w:val="single" w:sz="8" w:space="0" w:color="auto"/>
            </w:tcBorders>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tcBorders>
              <w:bottom w:val="single" w:sz="8" w:space="0" w:color="auto"/>
            </w:tcBorders>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tcBorders>
              <w:bottom w:val="single" w:sz="8" w:space="0" w:color="auto"/>
            </w:tcBorders>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tcBorders>
              <w:bottom w:val="single" w:sz="8" w:space="0" w:color="auto"/>
            </w:tcBorders>
            <w:vAlign w:val="bottom"/>
          </w:tcPr>
          <w:p w:rsidR="00466ED5" w:rsidRPr="00652F48" w:rsidRDefault="00466ED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r w:rsidR="005E49E5" w:rsidRPr="00652F48" w:rsidTr="00AC168E">
        <w:tc>
          <w:tcPr>
            <w:tcW w:w="1254" w:type="pct"/>
            <w:tcBorders>
              <w:top w:val="single" w:sz="8" w:space="0" w:color="auto"/>
            </w:tcBorders>
            <w:vAlign w:val="bottom"/>
          </w:tcPr>
          <w:p w:rsidR="005E49E5" w:rsidRPr="00652F48" w:rsidRDefault="005E49E5" w:rsidP="00652F48">
            <w:pPr>
              <w:autoSpaceDE w:val="0"/>
              <w:autoSpaceDN w:val="0"/>
              <w:adjustRightInd w:val="0"/>
              <w:spacing w:line="360" w:lineRule="auto"/>
              <w:jc w:val="center"/>
              <w:rPr>
                <w:rFonts w:ascii="Times New Roman" w:eastAsia="Times New Roman" w:hAnsi="Times New Roman" w:cs="Times New Roman"/>
                <w:lang w:eastAsia="es-ES"/>
              </w:rPr>
            </w:pPr>
          </w:p>
        </w:tc>
        <w:tc>
          <w:tcPr>
            <w:tcW w:w="936" w:type="pct"/>
            <w:tcBorders>
              <w:top w:val="single" w:sz="8" w:space="0" w:color="auto"/>
            </w:tcBorders>
            <w:vAlign w:val="bottom"/>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8" w:type="pct"/>
            <w:tcBorders>
              <w:top w:val="single" w:sz="8" w:space="0" w:color="auto"/>
            </w:tcBorders>
            <w:vAlign w:val="bottom"/>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7" w:type="pct"/>
            <w:tcBorders>
              <w:top w:val="single" w:sz="8" w:space="0" w:color="auto"/>
            </w:tcBorders>
            <w:vAlign w:val="bottom"/>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c>
          <w:tcPr>
            <w:tcW w:w="935" w:type="pct"/>
            <w:tcBorders>
              <w:top w:val="single" w:sz="8" w:space="0" w:color="auto"/>
            </w:tcBorders>
            <w:vAlign w:val="bottom"/>
          </w:tcPr>
          <w:p w:rsidR="005E49E5" w:rsidRPr="00652F48" w:rsidRDefault="005E49E5" w:rsidP="00652F48">
            <w:pPr>
              <w:autoSpaceDE w:val="0"/>
              <w:autoSpaceDN w:val="0"/>
              <w:adjustRightInd w:val="0"/>
              <w:spacing w:line="360" w:lineRule="auto"/>
              <w:ind w:right="20"/>
              <w:jc w:val="center"/>
              <w:rPr>
                <w:rFonts w:ascii="Times New Roman" w:eastAsia="Times New Roman" w:hAnsi="Times New Roman" w:cs="Times New Roman"/>
                <w:lang w:eastAsia="es-ES"/>
              </w:rPr>
            </w:pPr>
          </w:p>
        </w:tc>
      </w:tr>
    </w:tbl>
    <w:p w:rsidR="005E49E5" w:rsidRPr="00652F48" w:rsidRDefault="005E49E5" w:rsidP="00652F48">
      <w:pPr>
        <w:spacing w:after="240" w:line="360" w:lineRule="auto"/>
        <w:jc w:val="both"/>
        <w:rPr>
          <w:rFonts w:ascii="Times New Roman" w:eastAsia="Times New Roman" w:hAnsi="Times New Roman" w:cs="Times New Roman"/>
          <w:lang w:val="es-ES" w:eastAsia="es-ES"/>
        </w:rPr>
      </w:pPr>
      <w:r w:rsidRPr="00652F48">
        <w:rPr>
          <w:rFonts w:ascii="Times New Roman" w:eastAsia="Times New Roman" w:hAnsi="Times New Roman" w:cs="Times New Roman"/>
          <w:lang w:val="es-ES" w:eastAsia="es-ES"/>
        </w:rPr>
        <w:t xml:space="preserve"> Entre paréntesis el desvío estándar.  </w:t>
      </w:r>
      <w:proofErr w:type="gramStart"/>
      <w:r w:rsidRPr="00652F48">
        <w:rPr>
          <w:rFonts w:ascii="Times New Roman" w:eastAsia="Times New Roman" w:hAnsi="Times New Roman" w:cs="Times New Roman"/>
          <w:i/>
          <w:lang w:eastAsia="es-ES"/>
        </w:rPr>
        <w:t>*p&lt;0.10; **p&lt;0.05; ***p&lt;0.01</w:t>
      </w:r>
      <w:r w:rsidRPr="00652F48">
        <w:rPr>
          <w:rFonts w:ascii="Times New Roman" w:eastAsia="Times New Roman" w:hAnsi="Times New Roman" w:cs="Times New Roman"/>
          <w:lang w:eastAsia="es-ES"/>
        </w:rPr>
        <w:t>.</w:t>
      </w:r>
      <w:proofErr w:type="gramEnd"/>
      <w:r w:rsidRPr="00652F48">
        <w:rPr>
          <w:rFonts w:ascii="Times New Roman" w:eastAsia="Times New Roman" w:hAnsi="Times New Roman" w:cs="Times New Roman"/>
          <w:lang w:eastAsia="es-ES"/>
        </w:rPr>
        <w:t xml:space="preserve"> </w:t>
      </w:r>
      <w:r w:rsidRPr="00652F48">
        <w:rPr>
          <w:rFonts w:ascii="Times New Roman" w:eastAsia="Times New Roman" w:hAnsi="Times New Roman" w:cs="Times New Roman"/>
          <w:i/>
          <w:lang w:eastAsia="es-ES"/>
        </w:rPr>
        <w:t xml:space="preserve">LS: Last Squares. </w:t>
      </w:r>
      <w:r w:rsidRPr="00652F48">
        <w:rPr>
          <w:rFonts w:ascii="Times New Roman" w:eastAsia="Times New Roman" w:hAnsi="Times New Roman" w:cs="Times New Roman"/>
          <w:i/>
          <w:lang w:val="es-ES" w:eastAsia="es-ES"/>
        </w:rPr>
        <w:t xml:space="preserve">GLS: Generalised </w:t>
      </w:r>
      <w:proofErr w:type="spellStart"/>
      <w:r w:rsidRPr="00652F48">
        <w:rPr>
          <w:rFonts w:ascii="Times New Roman" w:eastAsia="Times New Roman" w:hAnsi="Times New Roman" w:cs="Times New Roman"/>
          <w:i/>
          <w:lang w:val="es-ES" w:eastAsia="es-ES"/>
        </w:rPr>
        <w:t>Last</w:t>
      </w:r>
      <w:proofErr w:type="spellEnd"/>
      <w:r w:rsidRPr="00652F48">
        <w:rPr>
          <w:rFonts w:ascii="Times New Roman" w:eastAsia="Times New Roman" w:hAnsi="Times New Roman" w:cs="Times New Roman"/>
          <w:i/>
          <w:lang w:val="es-ES" w:eastAsia="es-ES"/>
        </w:rPr>
        <w:t xml:space="preserve"> </w:t>
      </w:r>
      <w:proofErr w:type="spellStart"/>
      <w:r w:rsidRPr="00652F48">
        <w:rPr>
          <w:rFonts w:ascii="Times New Roman" w:eastAsia="Times New Roman" w:hAnsi="Times New Roman" w:cs="Times New Roman"/>
          <w:i/>
          <w:lang w:val="es-ES" w:eastAsia="es-ES"/>
        </w:rPr>
        <w:t>Squares</w:t>
      </w:r>
      <w:proofErr w:type="spellEnd"/>
      <w:r w:rsidRPr="00652F48">
        <w:rPr>
          <w:rFonts w:ascii="Times New Roman" w:eastAsia="Times New Roman" w:hAnsi="Times New Roman" w:cs="Times New Roman"/>
          <w:i/>
          <w:lang w:val="es-ES" w:eastAsia="es-ES"/>
        </w:rPr>
        <w:t xml:space="preserve">. PCSE: Panel </w:t>
      </w:r>
      <w:proofErr w:type="spellStart"/>
      <w:r w:rsidRPr="00652F48">
        <w:rPr>
          <w:rFonts w:ascii="Times New Roman" w:eastAsia="Times New Roman" w:hAnsi="Times New Roman" w:cs="Times New Roman"/>
          <w:i/>
          <w:lang w:val="es-ES" w:eastAsia="es-ES"/>
        </w:rPr>
        <w:t>Corrected</w:t>
      </w:r>
      <w:proofErr w:type="spellEnd"/>
      <w:r w:rsidRPr="00652F48">
        <w:rPr>
          <w:rFonts w:ascii="Times New Roman" w:eastAsia="Times New Roman" w:hAnsi="Times New Roman" w:cs="Times New Roman"/>
          <w:i/>
          <w:lang w:val="es-ES" w:eastAsia="es-ES"/>
        </w:rPr>
        <w:t xml:space="preserve"> Standard </w:t>
      </w:r>
      <w:proofErr w:type="spellStart"/>
      <w:r w:rsidRPr="00652F48">
        <w:rPr>
          <w:rFonts w:ascii="Times New Roman" w:eastAsia="Times New Roman" w:hAnsi="Times New Roman" w:cs="Times New Roman"/>
          <w:i/>
          <w:lang w:val="es-ES" w:eastAsia="es-ES"/>
        </w:rPr>
        <w:t>Errors</w:t>
      </w:r>
      <w:proofErr w:type="spellEnd"/>
      <w:r w:rsidRPr="00652F48">
        <w:rPr>
          <w:rFonts w:ascii="Times New Roman" w:eastAsia="Times New Roman" w:hAnsi="Times New Roman" w:cs="Times New Roman"/>
          <w:lang w:val="es-ES" w:eastAsia="es-ES"/>
        </w:rPr>
        <w:t>.</w:t>
      </w:r>
    </w:p>
    <w:p w:rsidR="00472BF1" w:rsidRPr="00652F48" w:rsidRDefault="00472BF1"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En primer lugar se analizan las variables que presentan significatividad es</w:t>
      </w:r>
      <w:r w:rsidR="00242632" w:rsidRPr="00652F48">
        <w:rPr>
          <w:rFonts w:ascii="Times New Roman" w:hAnsi="Times New Roman" w:cs="Times New Roman"/>
          <w:sz w:val="22"/>
          <w:szCs w:val="22"/>
          <w:lang w:val="es-ES"/>
        </w:rPr>
        <w:t xml:space="preserve">tadística. La primera de ellas es la </w:t>
      </w:r>
      <w:r w:rsidRPr="00652F48">
        <w:rPr>
          <w:rFonts w:ascii="Times New Roman" w:hAnsi="Times New Roman" w:cs="Times New Roman"/>
          <w:sz w:val="22"/>
          <w:szCs w:val="22"/>
          <w:lang w:val="es-ES"/>
        </w:rPr>
        <w:t xml:space="preserve">tasa de </w:t>
      </w:r>
      <w:r w:rsidR="00242632" w:rsidRPr="00652F48">
        <w:rPr>
          <w:rFonts w:ascii="Times New Roman" w:hAnsi="Times New Roman" w:cs="Times New Roman"/>
          <w:sz w:val="22"/>
          <w:szCs w:val="22"/>
          <w:lang w:val="es-ES"/>
        </w:rPr>
        <w:t xml:space="preserve">los </w:t>
      </w:r>
      <w:r w:rsidRPr="00652F48">
        <w:rPr>
          <w:rFonts w:ascii="Times New Roman" w:hAnsi="Times New Roman" w:cs="Times New Roman"/>
          <w:sz w:val="22"/>
          <w:szCs w:val="22"/>
          <w:lang w:val="es-ES"/>
        </w:rPr>
        <w:t>préstamo</w:t>
      </w:r>
      <w:r w:rsidR="008F12AA" w:rsidRPr="00652F48">
        <w:rPr>
          <w:rFonts w:ascii="Times New Roman" w:hAnsi="Times New Roman" w:cs="Times New Roman"/>
          <w:sz w:val="22"/>
          <w:szCs w:val="22"/>
          <w:lang w:val="es-ES"/>
        </w:rPr>
        <w:t xml:space="preserve">s, </w:t>
      </w:r>
      <w:r w:rsidR="00242632" w:rsidRPr="00652F48">
        <w:rPr>
          <w:rFonts w:ascii="Times New Roman" w:hAnsi="Times New Roman" w:cs="Times New Roman"/>
          <w:sz w:val="22"/>
          <w:szCs w:val="22"/>
          <w:lang w:val="es-ES"/>
        </w:rPr>
        <w:t xml:space="preserve">que </w:t>
      </w:r>
      <w:r w:rsidR="008F12AA" w:rsidRPr="00652F48">
        <w:rPr>
          <w:rFonts w:ascii="Times New Roman" w:hAnsi="Times New Roman" w:cs="Times New Roman"/>
          <w:sz w:val="22"/>
          <w:szCs w:val="22"/>
          <w:lang w:val="es-ES"/>
        </w:rPr>
        <w:t xml:space="preserve">resulta </w:t>
      </w:r>
      <w:r w:rsidR="00420B71" w:rsidRPr="00652F48">
        <w:rPr>
          <w:rFonts w:ascii="Times New Roman" w:hAnsi="Times New Roman" w:cs="Times New Roman"/>
          <w:sz w:val="22"/>
          <w:szCs w:val="22"/>
          <w:lang w:val="es-ES"/>
        </w:rPr>
        <w:t xml:space="preserve">fuertemente </w:t>
      </w:r>
      <w:r w:rsidR="008F12AA" w:rsidRPr="00652F48">
        <w:rPr>
          <w:rFonts w:ascii="Times New Roman" w:hAnsi="Times New Roman" w:cs="Times New Roman"/>
          <w:sz w:val="22"/>
          <w:szCs w:val="22"/>
          <w:lang w:val="es-ES"/>
        </w:rPr>
        <w:t>significativa al 1% y</w:t>
      </w:r>
      <w:r w:rsidRPr="00652F48">
        <w:rPr>
          <w:rFonts w:ascii="Times New Roman" w:hAnsi="Times New Roman" w:cs="Times New Roman"/>
          <w:sz w:val="22"/>
          <w:szCs w:val="22"/>
          <w:lang w:val="es-ES"/>
        </w:rPr>
        <w:t xml:space="preserve"> muestra un coeficiente</w:t>
      </w:r>
      <w:r w:rsidR="00BA4B78" w:rsidRPr="00652F48">
        <w:rPr>
          <w:rFonts w:ascii="Times New Roman" w:hAnsi="Times New Roman" w:cs="Times New Roman"/>
          <w:sz w:val="22"/>
          <w:szCs w:val="22"/>
          <w:lang w:val="es-ES"/>
        </w:rPr>
        <w:t xml:space="preserve"> negativo. </w:t>
      </w:r>
      <w:r w:rsidR="00242632" w:rsidRPr="00652F48">
        <w:rPr>
          <w:rFonts w:ascii="Times New Roman" w:hAnsi="Times New Roman" w:cs="Times New Roman"/>
          <w:sz w:val="22"/>
          <w:szCs w:val="22"/>
          <w:lang w:val="es-ES"/>
        </w:rPr>
        <w:t xml:space="preserve">Los resultados </w:t>
      </w:r>
      <w:r w:rsidR="00420B71" w:rsidRPr="00652F48">
        <w:rPr>
          <w:rFonts w:ascii="Times New Roman" w:hAnsi="Times New Roman" w:cs="Times New Roman"/>
          <w:sz w:val="22"/>
          <w:szCs w:val="22"/>
          <w:lang w:val="es-ES"/>
        </w:rPr>
        <w:t>implican</w:t>
      </w:r>
      <w:r w:rsidR="00242632" w:rsidRPr="00652F48">
        <w:rPr>
          <w:rFonts w:ascii="Times New Roman" w:hAnsi="Times New Roman" w:cs="Times New Roman"/>
          <w:sz w:val="22"/>
          <w:szCs w:val="22"/>
          <w:lang w:val="es-ES"/>
        </w:rPr>
        <w:t xml:space="preserve"> que la</w:t>
      </w:r>
      <w:r w:rsidR="00BA4B78" w:rsidRPr="00652F48">
        <w:rPr>
          <w:rFonts w:ascii="Times New Roman" w:hAnsi="Times New Roman" w:cs="Times New Roman"/>
          <w:sz w:val="22"/>
          <w:szCs w:val="22"/>
          <w:lang w:val="es-ES"/>
        </w:rPr>
        <w:t xml:space="preserve"> deuda de los hogares disminuye 0,138% ante un aumento</w:t>
      </w:r>
      <w:r w:rsidRPr="00652F48">
        <w:rPr>
          <w:rFonts w:ascii="Times New Roman" w:hAnsi="Times New Roman" w:cs="Times New Roman"/>
          <w:sz w:val="22"/>
          <w:szCs w:val="22"/>
          <w:lang w:val="es-ES"/>
        </w:rPr>
        <w:t xml:space="preserve"> </w:t>
      </w:r>
      <w:r w:rsidR="00BA4B78" w:rsidRPr="00652F48">
        <w:rPr>
          <w:rFonts w:ascii="Times New Roman" w:hAnsi="Times New Roman" w:cs="Times New Roman"/>
          <w:sz w:val="22"/>
          <w:szCs w:val="22"/>
          <w:lang w:val="es-ES"/>
        </w:rPr>
        <w:t>del 1% en los tipos de interés para los préstamos a los hogares</w:t>
      </w:r>
      <w:r w:rsidRPr="00652F48">
        <w:rPr>
          <w:rFonts w:ascii="Times New Roman" w:hAnsi="Times New Roman" w:cs="Times New Roman"/>
          <w:sz w:val="22"/>
          <w:szCs w:val="22"/>
          <w:lang w:val="es-ES"/>
        </w:rPr>
        <w:t xml:space="preserve">. Este resultado se encuentra en línea con lo vaticinado por la teoría y </w:t>
      </w:r>
      <w:r w:rsidR="008F12AA" w:rsidRPr="00652F48">
        <w:rPr>
          <w:rFonts w:ascii="Times New Roman" w:hAnsi="Times New Roman" w:cs="Times New Roman"/>
          <w:sz w:val="22"/>
          <w:szCs w:val="22"/>
          <w:lang w:val="es-ES"/>
        </w:rPr>
        <w:t xml:space="preserve">lo </w:t>
      </w:r>
      <w:r w:rsidRPr="00652F48">
        <w:rPr>
          <w:rFonts w:ascii="Times New Roman" w:hAnsi="Times New Roman" w:cs="Times New Roman"/>
          <w:sz w:val="22"/>
          <w:szCs w:val="22"/>
          <w:lang w:val="es-ES"/>
        </w:rPr>
        <w:t>esperado a priori</w:t>
      </w:r>
      <w:r w:rsidR="008F12AA" w:rsidRPr="00652F48">
        <w:rPr>
          <w:rFonts w:ascii="Times New Roman" w:hAnsi="Times New Roman" w:cs="Times New Roman"/>
          <w:sz w:val="22"/>
          <w:szCs w:val="22"/>
          <w:lang w:val="es-ES"/>
        </w:rPr>
        <w:t xml:space="preserve">. Sin embargo, contrasta con las estimaciones de </w:t>
      </w:r>
      <w:r w:rsidR="00CC1F85" w:rsidRPr="00652F48">
        <w:rPr>
          <w:rFonts w:ascii="Times New Roman" w:hAnsi="Times New Roman" w:cs="Times New Roman"/>
          <w:sz w:val="22"/>
          <w:szCs w:val="22"/>
          <w:lang w:val="es-ES"/>
        </w:rPr>
        <w:t xml:space="preserve">Samad </w:t>
      </w:r>
      <w:r w:rsidR="00CC1F85" w:rsidRPr="00652F48">
        <w:rPr>
          <w:rFonts w:ascii="Times New Roman" w:hAnsi="Times New Roman" w:cs="Times New Roman"/>
          <w:i/>
          <w:sz w:val="22"/>
          <w:szCs w:val="22"/>
          <w:lang w:val="es-ES"/>
        </w:rPr>
        <w:t>et al</w:t>
      </w:r>
      <w:r w:rsidR="00BA4B78" w:rsidRPr="00652F48">
        <w:rPr>
          <w:rFonts w:ascii="Times New Roman" w:hAnsi="Times New Roman" w:cs="Times New Roman"/>
          <w:i/>
          <w:sz w:val="22"/>
          <w:szCs w:val="22"/>
          <w:lang w:val="es-ES"/>
        </w:rPr>
        <w:t>.</w:t>
      </w:r>
      <w:r w:rsidR="00CC1F85" w:rsidRPr="00652F48">
        <w:rPr>
          <w:rFonts w:ascii="Times New Roman" w:hAnsi="Times New Roman" w:cs="Times New Roman"/>
          <w:sz w:val="22"/>
          <w:szCs w:val="22"/>
          <w:lang w:val="es-ES"/>
        </w:rPr>
        <w:t xml:space="preserve"> (2020)</w:t>
      </w:r>
      <w:r w:rsidR="008F12AA" w:rsidRPr="00652F48">
        <w:rPr>
          <w:rFonts w:ascii="Times New Roman" w:hAnsi="Times New Roman" w:cs="Times New Roman"/>
          <w:sz w:val="22"/>
          <w:szCs w:val="22"/>
          <w:lang w:val="es-ES"/>
        </w:rPr>
        <w:t xml:space="preserve">, quienes trabajando con un panel de 19 países emergentes de diferentes continentes encuentran un valor positivo, cercano a </w:t>
      </w:r>
      <w:r w:rsidR="008F12AA" w:rsidRPr="00652F48">
        <w:rPr>
          <w:rFonts w:ascii="Times New Roman" w:hAnsi="Times New Roman" w:cs="Times New Roman"/>
          <w:sz w:val="22"/>
          <w:szCs w:val="22"/>
          <w:lang w:val="es-ES"/>
        </w:rPr>
        <w:lastRenderedPageBreak/>
        <w:t xml:space="preserve">0,34. </w:t>
      </w:r>
      <w:r w:rsidR="00242632" w:rsidRPr="00652F48">
        <w:rPr>
          <w:rFonts w:ascii="Times New Roman" w:hAnsi="Times New Roman" w:cs="Times New Roman"/>
          <w:sz w:val="22"/>
          <w:szCs w:val="22"/>
          <w:lang w:val="es-ES"/>
        </w:rPr>
        <w:t>Aunque ese resultado es anómalo, los</w:t>
      </w:r>
      <w:r w:rsidR="008F12AA" w:rsidRPr="00652F48">
        <w:rPr>
          <w:rFonts w:ascii="Times New Roman" w:hAnsi="Times New Roman" w:cs="Times New Roman"/>
          <w:sz w:val="22"/>
          <w:szCs w:val="22"/>
          <w:lang w:val="es-ES"/>
        </w:rPr>
        <w:t xml:space="preserve"> autores explican ese coeficiente aludiendo </w:t>
      </w:r>
      <w:r w:rsidR="00242632" w:rsidRPr="00652F48">
        <w:rPr>
          <w:rFonts w:ascii="Times New Roman" w:hAnsi="Times New Roman" w:cs="Times New Roman"/>
          <w:sz w:val="22"/>
          <w:szCs w:val="22"/>
          <w:lang w:val="es-ES"/>
        </w:rPr>
        <w:t xml:space="preserve">principalmente </w:t>
      </w:r>
      <w:r w:rsidR="008F12AA" w:rsidRPr="00652F48">
        <w:rPr>
          <w:rFonts w:ascii="Times New Roman" w:hAnsi="Times New Roman" w:cs="Times New Roman"/>
          <w:sz w:val="22"/>
          <w:szCs w:val="22"/>
          <w:lang w:val="es-ES"/>
        </w:rPr>
        <w:t>a</w:t>
      </w:r>
      <w:r w:rsidR="00BA4B78" w:rsidRPr="00652F48">
        <w:rPr>
          <w:rFonts w:ascii="Times New Roman" w:hAnsi="Times New Roman" w:cs="Times New Roman"/>
          <w:sz w:val="22"/>
          <w:szCs w:val="22"/>
          <w:lang w:val="es-ES"/>
        </w:rPr>
        <w:t xml:space="preserve"> </w:t>
      </w:r>
      <w:r w:rsidR="00242632" w:rsidRPr="00652F48">
        <w:rPr>
          <w:rFonts w:ascii="Times New Roman" w:hAnsi="Times New Roman" w:cs="Times New Roman"/>
          <w:sz w:val="22"/>
          <w:szCs w:val="22"/>
          <w:lang w:val="es-ES"/>
        </w:rPr>
        <w:t>l</w:t>
      </w:r>
      <w:r w:rsidR="008F12AA" w:rsidRPr="00652F48">
        <w:rPr>
          <w:rFonts w:ascii="Times New Roman" w:hAnsi="Times New Roman" w:cs="Times New Roman"/>
          <w:sz w:val="22"/>
          <w:szCs w:val="22"/>
          <w:lang w:val="es-ES"/>
        </w:rPr>
        <w:t xml:space="preserve">a posibilidad de que los países incorporados en su muestra se encuentren transitando una fase de auge económico, </w:t>
      </w:r>
      <w:r w:rsidR="00BA4B78" w:rsidRPr="00652F48">
        <w:rPr>
          <w:rFonts w:ascii="Times New Roman" w:hAnsi="Times New Roman" w:cs="Times New Roman"/>
          <w:sz w:val="22"/>
          <w:szCs w:val="22"/>
          <w:lang w:val="es-ES"/>
        </w:rPr>
        <w:t>ya que de esa forma habría una</w:t>
      </w:r>
      <w:r w:rsidR="008F12AA" w:rsidRPr="00652F48">
        <w:rPr>
          <w:rFonts w:ascii="Times New Roman" w:hAnsi="Times New Roman" w:cs="Times New Roman"/>
          <w:sz w:val="22"/>
          <w:szCs w:val="22"/>
          <w:lang w:val="es-ES"/>
        </w:rPr>
        <w:t xml:space="preserve"> fuerte demanda de deuda para financiar </w:t>
      </w:r>
      <w:r w:rsidR="00BA4B78" w:rsidRPr="00652F48">
        <w:rPr>
          <w:rFonts w:ascii="Times New Roman" w:hAnsi="Times New Roman" w:cs="Times New Roman"/>
          <w:sz w:val="22"/>
          <w:szCs w:val="22"/>
          <w:lang w:val="es-ES"/>
        </w:rPr>
        <w:t>un alto nivel de</w:t>
      </w:r>
      <w:r w:rsidR="008F12AA" w:rsidRPr="00652F48">
        <w:rPr>
          <w:rFonts w:ascii="Times New Roman" w:hAnsi="Times New Roman" w:cs="Times New Roman"/>
          <w:sz w:val="22"/>
          <w:szCs w:val="22"/>
          <w:lang w:val="es-ES"/>
        </w:rPr>
        <w:t xml:space="preserve"> gasto de los consumidor</w:t>
      </w:r>
      <w:r w:rsidR="00BA4B78" w:rsidRPr="00652F48">
        <w:rPr>
          <w:rFonts w:ascii="Times New Roman" w:hAnsi="Times New Roman" w:cs="Times New Roman"/>
          <w:sz w:val="22"/>
          <w:szCs w:val="22"/>
          <w:lang w:val="es-ES"/>
        </w:rPr>
        <w:t xml:space="preserve">es para la inversión en activos, lo que en definitiva redunda en un boom de crédito. No obstante, </w:t>
      </w:r>
      <w:r w:rsidR="00242632" w:rsidRPr="00652F48">
        <w:rPr>
          <w:rFonts w:ascii="Times New Roman" w:hAnsi="Times New Roman" w:cs="Times New Roman"/>
          <w:sz w:val="22"/>
          <w:szCs w:val="22"/>
          <w:lang w:val="es-ES"/>
        </w:rPr>
        <w:t>ese argumento supondría un inconveniente teórico muy importante que es considerar</w:t>
      </w:r>
      <w:r w:rsidR="00BA4B78" w:rsidRPr="00652F48">
        <w:rPr>
          <w:rFonts w:ascii="Times New Roman" w:hAnsi="Times New Roman" w:cs="Times New Roman"/>
          <w:sz w:val="22"/>
          <w:szCs w:val="22"/>
          <w:lang w:val="es-ES"/>
        </w:rPr>
        <w:t xml:space="preserve"> que la demanda de créditos por parte de los hogares no es sensible a los incrementos de la tasa de interés. </w:t>
      </w:r>
    </w:p>
    <w:p w:rsidR="004B50C8" w:rsidRPr="00652F48" w:rsidRDefault="004B50C8"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El impacto de la es</w:t>
      </w:r>
      <w:r w:rsidR="00CC1F85" w:rsidRPr="00652F48">
        <w:rPr>
          <w:rFonts w:ascii="Times New Roman" w:hAnsi="Times New Roman" w:cs="Times New Roman"/>
          <w:sz w:val="22"/>
          <w:szCs w:val="22"/>
          <w:lang w:val="es-ES"/>
        </w:rPr>
        <w:t xml:space="preserve">peranza de vida también resultó </w:t>
      </w:r>
      <w:r w:rsidRPr="00652F48">
        <w:rPr>
          <w:rFonts w:ascii="Times New Roman" w:hAnsi="Times New Roman" w:cs="Times New Roman"/>
          <w:sz w:val="22"/>
          <w:szCs w:val="22"/>
          <w:lang w:val="es-ES"/>
        </w:rPr>
        <w:t xml:space="preserve">significativo al 1%. Un año de vida adicional redunda en un incremento del 2,31% del </w:t>
      </w:r>
      <w:r w:rsidR="00242632" w:rsidRPr="00652F48">
        <w:rPr>
          <w:rFonts w:ascii="Times New Roman" w:hAnsi="Times New Roman" w:cs="Times New Roman"/>
          <w:sz w:val="22"/>
          <w:szCs w:val="22"/>
          <w:lang w:val="es-ES"/>
        </w:rPr>
        <w:t xml:space="preserve">ratio </w:t>
      </w:r>
      <w:r w:rsidRPr="00652F48">
        <w:rPr>
          <w:rFonts w:ascii="Times New Roman" w:hAnsi="Times New Roman" w:cs="Times New Roman"/>
          <w:sz w:val="22"/>
          <w:szCs w:val="22"/>
          <w:lang w:val="es-ES"/>
        </w:rPr>
        <w:t xml:space="preserve">endeudamiento de los hogares respecto del PIB. Este resultado </w:t>
      </w:r>
      <w:r w:rsidR="00242632" w:rsidRPr="00652F48">
        <w:rPr>
          <w:rFonts w:ascii="Times New Roman" w:hAnsi="Times New Roman" w:cs="Times New Roman"/>
          <w:sz w:val="22"/>
          <w:szCs w:val="22"/>
          <w:lang w:val="es-ES"/>
        </w:rPr>
        <w:t>va en la misma dirección que los hallazgos de</w:t>
      </w:r>
      <w:r w:rsidRPr="00652F48">
        <w:rPr>
          <w:rFonts w:ascii="Times New Roman" w:hAnsi="Times New Roman" w:cs="Times New Roman"/>
          <w:sz w:val="22"/>
          <w:szCs w:val="22"/>
          <w:lang w:val="es-ES"/>
        </w:rPr>
        <w:t xml:space="preserve"> </w:t>
      </w:r>
      <w:r w:rsidR="00242632" w:rsidRPr="00652F48">
        <w:rPr>
          <w:rFonts w:ascii="Times New Roman" w:hAnsi="Times New Roman" w:cs="Times New Roman"/>
          <w:sz w:val="22"/>
          <w:szCs w:val="22"/>
          <w:lang w:val="es-ES"/>
        </w:rPr>
        <w:t xml:space="preserve">Colleta </w:t>
      </w:r>
      <w:r w:rsidR="00242632" w:rsidRPr="00652F48">
        <w:rPr>
          <w:rFonts w:ascii="Times New Roman" w:hAnsi="Times New Roman" w:cs="Times New Roman"/>
          <w:i/>
          <w:sz w:val="22"/>
          <w:szCs w:val="22"/>
          <w:lang w:val="es-ES"/>
        </w:rPr>
        <w:t>et al.</w:t>
      </w:r>
      <w:r w:rsidR="00242632" w:rsidRPr="00652F48">
        <w:rPr>
          <w:rFonts w:ascii="Times New Roman" w:hAnsi="Times New Roman" w:cs="Times New Roman"/>
          <w:sz w:val="22"/>
          <w:szCs w:val="22"/>
          <w:lang w:val="es-ES"/>
        </w:rPr>
        <w:t xml:space="preserve"> (2019) para</w:t>
      </w:r>
      <w:r w:rsidRPr="00652F48">
        <w:rPr>
          <w:rFonts w:ascii="Times New Roman" w:hAnsi="Times New Roman" w:cs="Times New Roman"/>
          <w:sz w:val="22"/>
          <w:szCs w:val="22"/>
          <w:lang w:val="es-ES"/>
        </w:rPr>
        <w:t xml:space="preserve"> países desarrollados, aunque es de menor magnitud –cerca del 57% del efecto-. También es consistente con la Teoría del Ciclo Vital ya que si las personas tienen la expectativa de vivir más tiempo, entonces tienen mayores incentivos para continuar con una conducta de alisamiento de consumo (optimización intertemporal), y por tanto para endeudarse (Davies </w:t>
      </w:r>
      <w:r w:rsidRPr="00652F48">
        <w:rPr>
          <w:rFonts w:ascii="Times New Roman" w:hAnsi="Times New Roman" w:cs="Times New Roman"/>
          <w:i/>
          <w:sz w:val="22"/>
          <w:szCs w:val="22"/>
          <w:lang w:val="es-ES"/>
        </w:rPr>
        <w:t>et al</w:t>
      </w:r>
      <w:r w:rsidRPr="00652F48">
        <w:rPr>
          <w:rFonts w:ascii="Times New Roman" w:hAnsi="Times New Roman" w:cs="Times New Roman"/>
          <w:sz w:val="22"/>
          <w:szCs w:val="22"/>
          <w:lang w:val="es-ES"/>
        </w:rPr>
        <w:t>., 2010).</w:t>
      </w:r>
    </w:p>
    <w:p w:rsidR="004B50C8" w:rsidRPr="00652F48" w:rsidRDefault="004B50C8"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El ahorro, en tanto, resulta fuertemente significativ</w:t>
      </w:r>
      <w:r w:rsidR="00CC1F85" w:rsidRPr="00652F48">
        <w:rPr>
          <w:rFonts w:ascii="Times New Roman" w:hAnsi="Times New Roman" w:cs="Times New Roman"/>
          <w:sz w:val="22"/>
          <w:szCs w:val="22"/>
          <w:lang w:val="es-ES"/>
        </w:rPr>
        <w:t>o</w:t>
      </w:r>
      <w:r w:rsidRPr="00652F48">
        <w:rPr>
          <w:rFonts w:ascii="Times New Roman" w:hAnsi="Times New Roman" w:cs="Times New Roman"/>
          <w:sz w:val="22"/>
          <w:szCs w:val="22"/>
          <w:lang w:val="es-ES"/>
        </w:rPr>
        <w:t xml:space="preserve"> (al 1%). El signo presentado es negativo, conforme a lo previsto en los modelos teóricos.</w:t>
      </w:r>
      <w:r w:rsidR="003F6EEC" w:rsidRPr="00652F48">
        <w:rPr>
          <w:rFonts w:ascii="Times New Roman" w:hAnsi="Times New Roman" w:cs="Times New Roman"/>
          <w:sz w:val="22"/>
          <w:szCs w:val="22"/>
          <w:lang w:val="es-ES"/>
        </w:rPr>
        <w:t xml:space="preserve"> Un incremento del 1% en el ahorro bruto como porcentaje de PBI produce una reducción de 0,35% en la deuda de los hogares, expresada como porcentaje del PBI. Este resultado es similar al -0,36 reportado por Colleta </w:t>
      </w:r>
      <w:r w:rsidR="003F6EEC" w:rsidRPr="00652F48">
        <w:rPr>
          <w:rFonts w:ascii="Times New Roman" w:hAnsi="Times New Roman" w:cs="Times New Roman"/>
          <w:i/>
          <w:sz w:val="22"/>
          <w:szCs w:val="22"/>
          <w:lang w:val="es-ES"/>
        </w:rPr>
        <w:t>et al.</w:t>
      </w:r>
      <w:r w:rsidR="003F6EEC" w:rsidRPr="00652F48">
        <w:rPr>
          <w:rFonts w:ascii="Times New Roman" w:hAnsi="Times New Roman" w:cs="Times New Roman"/>
          <w:sz w:val="22"/>
          <w:szCs w:val="22"/>
          <w:lang w:val="es-ES"/>
        </w:rPr>
        <w:t xml:space="preserve"> (20</w:t>
      </w:r>
      <w:r w:rsidR="00831247" w:rsidRPr="00652F48">
        <w:rPr>
          <w:rFonts w:ascii="Times New Roman" w:hAnsi="Times New Roman" w:cs="Times New Roman"/>
          <w:sz w:val="22"/>
          <w:szCs w:val="22"/>
          <w:lang w:val="es-ES"/>
        </w:rPr>
        <w:t>19</w:t>
      </w:r>
      <w:r w:rsidR="003F6EEC" w:rsidRPr="00652F48">
        <w:rPr>
          <w:rFonts w:ascii="Times New Roman" w:hAnsi="Times New Roman" w:cs="Times New Roman"/>
          <w:sz w:val="22"/>
          <w:szCs w:val="22"/>
          <w:lang w:val="es-ES"/>
        </w:rPr>
        <w:t>) para el período 2007-2016 en países desarrollados.</w:t>
      </w:r>
    </w:p>
    <w:p w:rsidR="008C2AD0" w:rsidRPr="00652F48" w:rsidRDefault="008C2AD0"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Adicionalmente, la profundidad y desarrollo del sistema financiero resultó ser otra de las variables fuertemente significativas al 1%. Un aumento de 1% de los depósitos del sistema financiero como porcentaje del PBI redunda en un incremento de la deuda de los hogares en 0,29%. Este resultado es menor al 0,99% encontrado por Samad </w:t>
      </w:r>
      <w:r w:rsidRPr="00652F48">
        <w:rPr>
          <w:rFonts w:ascii="Times New Roman" w:hAnsi="Times New Roman" w:cs="Times New Roman"/>
          <w:i/>
          <w:sz w:val="22"/>
          <w:szCs w:val="22"/>
          <w:lang w:val="es-ES"/>
        </w:rPr>
        <w:t>et al</w:t>
      </w:r>
      <w:r w:rsidRPr="00652F48">
        <w:rPr>
          <w:rFonts w:ascii="Times New Roman" w:hAnsi="Times New Roman" w:cs="Times New Roman"/>
          <w:sz w:val="22"/>
          <w:szCs w:val="22"/>
          <w:lang w:val="es-ES"/>
        </w:rPr>
        <w:t xml:space="preserve"> (2020) para otro grupo de países emergentes. La explicación a esta discrepancia puede encontrarse en la composición de la muestras. El estudio si bien incorpora sólo países de América Latina, estos presentan una marcada heterogeneidad en profundidad y desarrollo financiero. En este sentido, mientras países como Brasil y Chile presentan un gran desarrollo, otros como Argentina y Nicaragua exhiben valores </w:t>
      </w:r>
      <w:r w:rsidR="00C74709" w:rsidRPr="00652F48">
        <w:rPr>
          <w:rFonts w:ascii="Times New Roman" w:hAnsi="Times New Roman" w:cs="Times New Roman"/>
          <w:sz w:val="22"/>
          <w:szCs w:val="22"/>
          <w:lang w:val="es-ES"/>
        </w:rPr>
        <w:t>que reflejan poca profundidad financiera. Dichas asimetrías pueden verse reflejadas claramente en la Tabla 2</w:t>
      </w:r>
      <w:r w:rsidRPr="00652F48">
        <w:rPr>
          <w:rFonts w:ascii="Times New Roman" w:hAnsi="Times New Roman" w:cs="Times New Roman"/>
          <w:sz w:val="22"/>
          <w:szCs w:val="22"/>
          <w:lang w:val="es-ES"/>
        </w:rPr>
        <w:t>.</w:t>
      </w:r>
    </w:p>
    <w:p w:rsidR="00782A6E" w:rsidRPr="00652F48" w:rsidRDefault="00420B71"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Por otro lado, l</w:t>
      </w:r>
      <w:r w:rsidR="00782A6E" w:rsidRPr="00652F48">
        <w:rPr>
          <w:rFonts w:ascii="Times New Roman" w:hAnsi="Times New Roman" w:cs="Times New Roman"/>
          <w:sz w:val="22"/>
          <w:szCs w:val="22"/>
          <w:lang w:val="es-ES"/>
        </w:rPr>
        <w:t>a variable ficticia presenta significatividad estadística al 1%. Su coeficiente muestra el incremento en el año 2020 de la deuda de los hogares como resultado autónomo, esto es por motivos no explicados por las variables regresoras que resultaron significativas, producto de la pandemia COVID-19. Las medidas de confinamiento preventivo y obligatorio llevado a cabo en los países junto con el cese de algunas actividades declaradas no esenciales, podría explicar para el 2020 un 3% de incremento autónomo para el componente autónomo del endeudamiento de los hogares.</w:t>
      </w:r>
    </w:p>
    <w:p w:rsidR="00420B71" w:rsidRPr="00652F48" w:rsidRDefault="005E49E5" w:rsidP="00652F48">
      <w:pPr>
        <w:pStyle w:val="Textoindependiente"/>
        <w:spacing w:after="240" w:line="360" w:lineRule="auto"/>
        <w:ind w:firstLine="357"/>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Finalmente, </w:t>
      </w:r>
      <w:r w:rsidR="004B59E5" w:rsidRPr="00652F48">
        <w:rPr>
          <w:rFonts w:ascii="Times New Roman" w:hAnsi="Times New Roman" w:cs="Times New Roman"/>
          <w:sz w:val="22"/>
          <w:szCs w:val="22"/>
          <w:lang w:val="es-ES"/>
        </w:rPr>
        <w:t xml:space="preserve">resultaron estadísticamente no </w:t>
      </w:r>
      <w:r w:rsidR="00F9315F" w:rsidRPr="00652F48">
        <w:rPr>
          <w:rFonts w:ascii="Times New Roman" w:hAnsi="Times New Roman" w:cs="Times New Roman"/>
          <w:sz w:val="22"/>
          <w:szCs w:val="22"/>
          <w:lang w:val="es-ES"/>
        </w:rPr>
        <w:t>significativos</w:t>
      </w:r>
      <w:r w:rsidR="004B59E5" w:rsidRPr="00652F48">
        <w:rPr>
          <w:rFonts w:ascii="Times New Roman" w:hAnsi="Times New Roman" w:cs="Times New Roman"/>
          <w:sz w:val="22"/>
          <w:szCs w:val="22"/>
          <w:lang w:val="es-ES"/>
        </w:rPr>
        <w:t xml:space="preserve"> l</w:t>
      </w:r>
      <w:r w:rsidR="00F9315F" w:rsidRPr="00652F48">
        <w:rPr>
          <w:rFonts w:ascii="Times New Roman" w:hAnsi="Times New Roman" w:cs="Times New Roman"/>
          <w:sz w:val="22"/>
          <w:szCs w:val="22"/>
          <w:lang w:val="es-ES"/>
        </w:rPr>
        <w:t>o</w:t>
      </w:r>
      <w:r w:rsidR="00DF1CE9" w:rsidRPr="00652F48">
        <w:rPr>
          <w:rFonts w:ascii="Times New Roman" w:hAnsi="Times New Roman" w:cs="Times New Roman"/>
          <w:sz w:val="22"/>
          <w:szCs w:val="22"/>
          <w:lang w:val="es-ES"/>
        </w:rPr>
        <w:t>s</w:t>
      </w:r>
      <w:r w:rsidR="00F9315F" w:rsidRPr="00652F48">
        <w:rPr>
          <w:rFonts w:ascii="Times New Roman" w:hAnsi="Times New Roman" w:cs="Times New Roman"/>
          <w:sz w:val="22"/>
          <w:szCs w:val="22"/>
          <w:lang w:val="es-ES"/>
        </w:rPr>
        <w:t xml:space="preserve"> resultados asociados a las </w:t>
      </w:r>
      <w:r w:rsidR="00DF1CE9" w:rsidRPr="00652F48">
        <w:rPr>
          <w:rFonts w:ascii="Times New Roman" w:hAnsi="Times New Roman" w:cs="Times New Roman"/>
          <w:sz w:val="22"/>
          <w:szCs w:val="22"/>
          <w:lang w:val="es-ES"/>
        </w:rPr>
        <w:t xml:space="preserve"> </w:t>
      </w:r>
      <w:r w:rsidR="00DF1CE9" w:rsidRPr="00652F48">
        <w:rPr>
          <w:rFonts w:ascii="Times New Roman" w:hAnsi="Times New Roman" w:cs="Times New Roman"/>
          <w:sz w:val="22"/>
          <w:szCs w:val="22"/>
          <w:lang w:val="es-ES"/>
        </w:rPr>
        <w:lastRenderedPageBreak/>
        <w:t>variables</w:t>
      </w:r>
      <w:r w:rsidR="004B59E5" w:rsidRPr="00652F48">
        <w:rPr>
          <w:rFonts w:ascii="Times New Roman" w:hAnsi="Times New Roman" w:cs="Times New Roman"/>
          <w:sz w:val="22"/>
          <w:szCs w:val="22"/>
          <w:lang w:val="es-ES"/>
        </w:rPr>
        <w:t xml:space="preserve"> inflación, desempleo y la efectividad del gobierno</w:t>
      </w:r>
      <w:r w:rsidRPr="00652F48">
        <w:rPr>
          <w:rFonts w:ascii="Times New Roman" w:hAnsi="Times New Roman" w:cs="Times New Roman"/>
          <w:sz w:val="22"/>
          <w:szCs w:val="22"/>
          <w:lang w:val="es-ES"/>
        </w:rPr>
        <w:t xml:space="preserve">. </w:t>
      </w:r>
      <w:r w:rsidR="005F0F90" w:rsidRPr="00652F48">
        <w:rPr>
          <w:rFonts w:ascii="Times New Roman" w:hAnsi="Times New Roman" w:cs="Times New Roman"/>
          <w:sz w:val="22"/>
          <w:szCs w:val="22"/>
          <w:lang w:val="es-ES"/>
        </w:rPr>
        <w:t xml:space="preserve">Respecto </w:t>
      </w:r>
      <w:r w:rsidR="00831247" w:rsidRPr="00652F48">
        <w:rPr>
          <w:rFonts w:ascii="Times New Roman" w:hAnsi="Times New Roman" w:cs="Times New Roman"/>
          <w:sz w:val="22"/>
          <w:szCs w:val="22"/>
          <w:lang w:val="es-ES"/>
        </w:rPr>
        <w:t>a</w:t>
      </w:r>
      <w:r w:rsidR="005F0F90" w:rsidRPr="00652F48">
        <w:rPr>
          <w:rFonts w:ascii="Times New Roman" w:hAnsi="Times New Roman" w:cs="Times New Roman"/>
          <w:sz w:val="22"/>
          <w:szCs w:val="22"/>
          <w:lang w:val="es-ES"/>
        </w:rPr>
        <w:t xml:space="preserve"> la comparativa </w:t>
      </w:r>
      <w:r w:rsidR="00831247" w:rsidRPr="00652F48">
        <w:rPr>
          <w:rFonts w:ascii="Times New Roman" w:hAnsi="Times New Roman" w:cs="Times New Roman"/>
          <w:sz w:val="22"/>
          <w:szCs w:val="22"/>
          <w:lang w:val="es-ES"/>
        </w:rPr>
        <w:t xml:space="preserve">de los resultados </w:t>
      </w:r>
      <w:r w:rsidR="005F0F90" w:rsidRPr="00652F48">
        <w:rPr>
          <w:rFonts w:ascii="Times New Roman" w:hAnsi="Times New Roman" w:cs="Times New Roman"/>
          <w:sz w:val="22"/>
          <w:szCs w:val="22"/>
          <w:lang w:val="es-ES"/>
        </w:rPr>
        <w:t xml:space="preserve">de estas variables en otros estudios, Samad </w:t>
      </w:r>
      <w:r w:rsidR="005F0F90" w:rsidRPr="00652F48">
        <w:rPr>
          <w:rFonts w:ascii="Times New Roman" w:hAnsi="Times New Roman" w:cs="Times New Roman"/>
          <w:i/>
          <w:sz w:val="22"/>
          <w:szCs w:val="22"/>
          <w:lang w:val="es-ES"/>
        </w:rPr>
        <w:t>et al.</w:t>
      </w:r>
      <w:r w:rsidR="005F0F90" w:rsidRPr="00652F48">
        <w:rPr>
          <w:rFonts w:ascii="Times New Roman" w:hAnsi="Times New Roman" w:cs="Times New Roman"/>
          <w:sz w:val="22"/>
          <w:szCs w:val="22"/>
          <w:lang w:val="es-ES"/>
        </w:rPr>
        <w:t xml:space="preserve"> (2020) no consideran la variable efectividad de gobierno, tampoco encuentran evidencia concluyente sobre </w:t>
      </w:r>
      <w:proofErr w:type="gramStart"/>
      <w:r w:rsidR="005F0F90" w:rsidRPr="00652F48">
        <w:rPr>
          <w:rFonts w:ascii="Times New Roman" w:hAnsi="Times New Roman" w:cs="Times New Roman"/>
          <w:sz w:val="22"/>
          <w:szCs w:val="22"/>
          <w:lang w:val="es-ES"/>
        </w:rPr>
        <w:t>la</w:t>
      </w:r>
      <w:proofErr w:type="gramEnd"/>
      <w:r w:rsidR="005F0F90" w:rsidRPr="00652F48">
        <w:rPr>
          <w:rFonts w:ascii="Times New Roman" w:hAnsi="Times New Roman" w:cs="Times New Roman"/>
          <w:sz w:val="22"/>
          <w:szCs w:val="22"/>
          <w:lang w:val="es-ES"/>
        </w:rPr>
        <w:t xml:space="preserve"> variable desempleo y arrojan evidencia significativa</w:t>
      </w:r>
      <w:r w:rsidR="00831247" w:rsidRPr="00652F48">
        <w:rPr>
          <w:rFonts w:ascii="Times New Roman" w:hAnsi="Times New Roman" w:cs="Times New Roman"/>
          <w:sz w:val="22"/>
          <w:szCs w:val="22"/>
          <w:lang w:val="es-ES"/>
        </w:rPr>
        <w:t xml:space="preserve"> de efecto negativo</w:t>
      </w:r>
      <w:r w:rsidR="005F0F90" w:rsidRPr="00652F48">
        <w:rPr>
          <w:rFonts w:ascii="Times New Roman" w:hAnsi="Times New Roman" w:cs="Times New Roman"/>
          <w:sz w:val="22"/>
          <w:szCs w:val="22"/>
          <w:lang w:val="es-ES"/>
        </w:rPr>
        <w:t xml:space="preserve"> de la inflación sobre la deuda de los hogares</w:t>
      </w:r>
      <w:r w:rsidR="00831247" w:rsidRPr="00652F48">
        <w:rPr>
          <w:rFonts w:ascii="Times New Roman" w:hAnsi="Times New Roman" w:cs="Times New Roman"/>
          <w:sz w:val="22"/>
          <w:szCs w:val="22"/>
          <w:lang w:val="es-ES"/>
        </w:rPr>
        <w:t xml:space="preserve"> en los distintos modelos estimados</w:t>
      </w:r>
      <w:r w:rsidR="005F0F90" w:rsidRPr="00652F48">
        <w:rPr>
          <w:rFonts w:ascii="Times New Roman" w:hAnsi="Times New Roman" w:cs="Times New Roman"/>
          <w:sz w:val="22"/>
          <w:szCs w:val="22"/>
          <w:lang w:val="es-ES"/>
        </w:rPr>
        <w:t>.</w:t>
      </w:r>
      <w:r w:rsidR="00831247" w:rsidRPr="00652F48">
        <w:rPr>
          <w:rFonts w:ascii="Times New Roman" w:hAnsi="Times New Roman" w:cs="Times New Roman"/>
          <w:sz w:val="22"/>
          <w:szCs w:val="22"/>
          <w:lang w:val="es-ES"/>
        </w:rPr>
        <w:t xml:space="preserve"> Por el lado de los países desarrollados, el estudio de Colleta </w:t>
      </w:r>
      <w:r w:rsidR="00831247" w:rsidRPr="00652F48">
        <w:rPr>
          <w:rFonts w:ascii="Times New Roman" w:hAnsi="Times New Roman" w:cs="Times New Roman"/>
          <w:i/>
          <w:sz w:val="22"/>
          <w:szCs w:val="22"/>
          <w:lang w:val="es-ES"/>
        </w:rPr>
        <w:t>et al</w:t>
      </w:r>
      <w:r w:rsidR="00831247" w:rsidRPr="00652F48">
        <w:rPr>
          <w:rFonts w:ascii="Times New Roman" w:hAnsi="Times New Roman" w:cs="Times New Roman"/>
          <w:sz w:val="22"/>
          <w:szCs w:val="22"/>
          <w:lang w:val="es-ES"/>
        </w:rPr>
        <w:t>. (2019) realiza una partición en dos submuestras, abarcando la primera los años 1995-2006 y la segunda 2007-2016. Para el primer subperíodo, sólo la tasa de desempleo muestra evidencia significativa fuerte (al 1%) y negativa, mientras que para el segundo subperíodo también la efectividad del gobierno muestra significatividad fuerte (al 1%)</w:t>
      </w:r>
      <w:r w:rsidR="00D02ADA" w:rsidRPr="00652F48">
        <w:rPr>
          <w:rFonts w:ascii="Times New Roman" w:hAnsi="Times New Roman" w:cs="Times New Roman"/>
          <w:sz w:val="22"/>
          <w:szCs w:val="22"/>
          <w:lang w:val="es-ES"/>
        </w:rPr>
        <w:t xml:space="preserve"> y negativa, mientras que</w:t>
      </w:r>
      <w:r w:rsidR="00831247" w:rsidRPr="00652F48">
        <w:rPr>
          <w:rFonts w:ascii="Times New Roman" w:hAnsi="Times New Roman" w:cs="Times New Roman"/>
          <w:sz w:val="22"/>
          <w:szCs w:val="22"/>
          <w:lang w:val="es-ES"/>
        </w:rPr>
        <w:t xml:space="preserve"> la tasa de inflación sólo muestra significatividad débil (al 10 %) y positiva lo que resulta contrario al hallazgo de Samad </w:t>
      </w:r>
      <w:r w:rsidR="00831247" w:rsidRPr="00652F48">
        <w:rPr>
          <w:rFonts w:ascii="Times New Roman" w:hAnsi="Times New Roman" w:cs="Times New Roman"/>
          <w:i/>
          <w:sz w:val="22"/>
          <w:szCs w:val="22"/>
          <w:lang w:val="es-ES"/>
        </w:rPr>
        <w:t>et al.</w:t>
      </w:r>
      <w:r w:rsidR="00831247" w:rsidRPr="00652F48">
        <w:rPr>
          <w:rFonts w:ascii="Times New Roman" w:hAnsi="Times New Roman" w:cs="Times New Roman"/>
          <w:sz w:val="22"/>
          <w:szCs w:val="22"/>
          <w:lang w:val="es-ES"/>
        </w:rPr>
        <w:t xml:space="preserve"> (2020).</w:t>
      </w:r>
      <w:r w:rsidR="00420B71" w:rsidRPr="00652F48">
        <w:rPr>
          <w:rFonts w:ascii="Times New Roman" w:hAnsi="Times New Roman" w:cs="Times New Roman"/>
          <w:sz w:val="22"/>
          <w:szCs w:val="22"/>
          <w:lang w:val="es-ES"/>
        </w:rPr>
        <w:t xml:space="preserve"> Estos muestra claramente que los resultados de estas variables se modifican en función de las secciones cruzadas y el período de tiempo considerados.</w:t>
      </w:r>
    </w:p>
    <w:p w:rsidR="00274409" w:rsidRPr="00652F48" w:rsidRDefault="00274409" w:rsidP="00652F48">
      <w:pPr>
        <w:pStyle w:val="Textoindependiente"/>
        <w:spacing w:after="240" w:line="360" w:lineRule="auto"/>
        <w:ind w:firstLine="357"/>
        <w:jc w:val="both"/>
        <w:rPr>
          <w:rFonts w:ascii="Times New Roman" w:hAnsi="Times New Roman" w:cs="Times New Roman"/>
          <w:b/>
          <w:sz w:val="22"/>
          <w:szCs w:val="22"/>
          <w:lang w:val="es-ES"/>
        </w:rPr>
      </w:pPr>
    </w:p>
    <w:p w:rsidR="005E49E5" w:rsidRPr="00652F48" w:rsidRDefault="00420B71" w:rsidP="00652F48">
      <w:pPr>
        <w:pStyle w:val="Textoindependiente"/>
        <w:spacing w:after="240" w:line="360" w:lineRule="auto"/>
        <w:ind w:firstLine="357"/>
        <w:jc w:val="both"/>
        <w:rPr>
          <w:rFonts w:ascii="Times New Roman" w:hAnsi="Times New Roman" w:cs="Times New Roman"/>
          <w:sz w:val="22"/>
          <w:szCs w:val="22"/>
          <w:lang w:val="es-ES"/>
        </w:rPr>
      </w:pPr>
      <w:r w:rsidRPr="00652F48">
        <w:rPr>
          <w:rFonts w:ascii="Times New Roman" w:hAnsi="Times New Roman" w:cs="Times New Roman"/>
          <w:b/>
          <w:sz w:val="22"/>
          <w:szCs w:val="22"/>
          <w:lang w:val="es-ES"/>
        </w:rPr>
        <w:t>Co</w:t>
      </w:r>
      <w:r w:rsidR="005E49E5" w:rsidRPr="00652F48">
        <w:rPr>
          <w:rFonts w:ascii="Times New Roman" w:hAnsi="Times New Roman" w:cs="Times New Roman"/>
          <w:b/>
          <w:sz w:val="22"/>
          <w:szCs w:val="22"/>
          <w:lang w:val="es-ES"/>
        </w:rPr>
        <w:t xml:space="preserve">nclusiones y discusión </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El endeudamiento de los hogares ha dejado de ser una preocupación exclusiva de los países desarrollados. En Latinoamérica el fenómeno ha comenzado a cobrar fuerza con valores que superan, en general, 10%  del PBI a partir del año 2002 y creciendo de manera continuada desde entonces. Identificar cuáles son los principales determinantes y cuantificar sus impactos resulta fundamental tanto desde el punto de vista teórico como así también desde la perspectiva del </w:t>
      </w:r>
      <w:r w:rsidRPr="00652F48">
        <w:rPr>
          <w:rFonts w:ascii="Times New Roman" w:hAnsi="Times New Roman" w:cs="Times New Roman"/>
          <w:i/>
          <w:sz w:val="22"/>
          <w:szCs w:val="22"/>
          <w:lang w:val="es-ES"/>
        </w:rPr>
        <w:t>policy maker</w:t>
      </w:r>
      <w:r w:rsidRPr="00652F48">
        <w:rPr>
          <w:rFonts w:ascii="Times New Roman" w:hAnsi="Times New Roman" w:cs="Times New Roman"/>
          <w:sz w:val="22"/>
          <w:szCs w:val="22"/>
          <w:lang w:val="es-ES"/>
        </w:rPr>
        <w:t xml:space="preserve">, ya que ha sido bien documentado que una rápida acumulación de deuda por parte de los hogares puede derivar en un menor crecimiento </w:t>
      </w:r>
      <w:r w:rsidR="00466894" w:rsidRPr="00652F48">
        <w:rPr>
          <w:rFonts w:ascii="Times New Roman" w:hAnsi="Times New Roman" w:cs="Times New Roman"/>
          <w:sz w:val="22"/>
          <w:szCs w:val="22"/>
          <w:lang w:val="es-ES"/>
        </w:rPr>
        <w:t xml:space="preserve">económico </w:t>
      </w:r>
      <w:r w:rsidRPr="00652F48">
        <w:rPr>
          <w:rFonts w:ascii="Times New Roman" w:hAnsi="Times New Roman" w:cs="Times New Roman"/>
          <w:sz w:val="22"/>
          <w:szCs w:val="22"/>
          <w:lang w:val="es-ES"/>
        </w:rPr>
        <w:t>futuro.</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En este trabajo se estudia</w:t>
      </w:r>
      <w:r w:rsidR="00137FF1" w:rsidRPr="00652F48">
        <w:rPr>
          <w:rFonts w:ascii="Times New Roman" w:hAnsi="Times New Roman" w:cs="Times New Roman"/>
          <w:sz w:val="22"/>
          <w:szCs w:val="22"/>
          <w:lang w:val="es-ES"/>
        </w:rPr>
        <w:t>ro</w:t>
      </w:r>
      <w:r w:rsidRPr="00652F48">
        <w:rPr>
          <w:rFonts w:ascii="Times New Roman" w:hAnsi="Times New Roman" w:cs="Times New Roman"/>
          <w:sz w:val="22"/>
          <w:szCs w:val="22"/>
          <w:lang w:val="es-ES"/>
        </w:rPr>
        <w:t>n los determinantes del endeudamiento de los hogares para un conjunto de</w:t>
      </w:r>
      <w:r w:rsidR="00137FF1" w:rsidRPr="00652F48">
        <w:rPr>
          <w:rFonts w:ascii="Times New Roman" w:hAnsi="Times New Roman" w:cs="Times New Roman"/>
          <w:sz w:val="22"/>
          <w:szCs w:val="22"/>
          <w:lang w:val="es-ES"/>
        </w:rPr>
        <w:t xml:space="preserve"> diez</w:t>
      </w:r>
      <w:r w:rsidRPr="00652F48">
        <w:rPr>
          <w:rFonts w:ascii="Times New Roman" w:hAnsi="Times New Roman" w:cs="Times New Roman"/>
          <w:sz w:val="22"/>
          <w:szCs w:val="22"/>
          <w:lang w:val="es-ES"/>
        </w:rPr>
        <w:t xml:space="preserve"> países de América Latina (Argentina, Brasil, Chile, Colombia,</w:t>
      </w:r>
      <w:r w:rsidR="00466894" w:rsidRPr="00652F48">
        <w:rPr>
          <w:rFonts w:ascii="Times New Roman" w:hAnsi="Times New Roman" w:cs="Times New Roman"/>
          <w:sz w:val="22"/>
          <w:szCs w:val="22"/>
          <w:lang w:val="es-ES"/>
        </w:rPr>
        <w:t xml:space="preserve"> </w:t>
      </w:r>
      <w:r w:rsidRPr="00652F48">
        <w:rPr>
          <w:rFonts w:ascii="Times New Roman" w:hAnsi="Times New Roman" w:cs="Times New Roman"/>
          <w:sz w:val="22"/>
          <w:szCs w:val="22"/>
          <w:lang w:val="es-ES"/>
        </w:rPr>
        <w:t xml:space="preserve">Costa Rica, El Salvador, Honduras, México, Nicaragua y Perú) en el período 2001-2021. La selección de países ha respondido a la disponibilidad de información para el armado de una base de datos homogénea. Asimismo, se pretendió contribuir a la literatura empírica, y en particular para el caso Latinoamericano, dado que no existen estudios referidos de manera exclusiva a dichos países. Existen </w:t>
      </w:r>
      <w:r w:rsidR="00137FF1" w:rsidRPr="00652F48">
        <w:rPr>
          <w:rFonts w:ascii="Times New Roman" w:hAnsi="Times New Roman" w:cs="Times New Roman"/>
          <w:sz w:val="22"/>
          <w:szCs w:val="22"/>
          <w:lang w:val="es-ES"/>
        </w:rPr>
        <w:t xml:space="preserve">sólo </w:t>
      </w:r>
      <w:r w:rsidRPr="00652F48">
        <w:rPr>
          <w:rFonts w:ascii="Times New Roman" w:hAnsi="Times New Roman" w:cs="Times New Roman"/>
          <w:sz w:val="22"/>
          <w:szCs w:val="22"/>
          <w:lang w:val="es-ES"/>
        </w:rPr>
        <w:t>algunas contribuciones aplicadas a países emergentes, que suelen incluir algunos pocos países de la región.</w:t>
      </w:r>
    </w:p>
    <w:p w:rsidR="006C4760" w:rsidRPr="00652F48" w:rsidRDefault="006C4760"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Para ello se utilizó un panel de datos desbalanceado construido a partir de diferentes fuentes de información. Dada la naturaleza del panel, se utilizó una estrategia de </w:t>
      </w:r>
      <w:r w:rsidR="004166FA" w:rsidRPr="00652F48">
        <w:rPr>
          <w:rFonts w:ascii="Times New Roman" w:hAnsi="Times New Roman" w:cs="Times New Roman"/>
          <w:sz w:val="22"/>
          <w:szCs w:val="22"/>
          <w:lang w:val="es-ES"/>
        </w:rPr>
        <w:t>estimación</w:t>
      </w:r>
      <w:r w:rsidRPr="00652F48">
        <w:rPr>
          <w:rFonts w:ascii="Times New Roman" w:hAnsi="Times New Roman" w:cs="Times New Roman"/>
          <w:sz w:val="22"/>
          <w:szCs w:val="22"/>
          <w:lang w:val="es-ES"/>
        </w:rPr>
        <w:t xml:space="preserve"> basada en el procedimiento de</w:t>
      </w:r>
      <w:r w:rsidRPr="00652F48">
        <w:rPr>
          <w:rFonts w:ascii="Times New Roman" w:hAnsi="Times New Roman" w:cs="Times New Roman"/>
          <w:i/>
          <w:sz w:val="22"/>
          <w:szCs w:val="22"/>
          <w:lang w:val="es-ES"/>
        </w:rPr>
        <w:t xml:space="preserve"> </w:t>
      </w:r>
      <w:proofErr w:type="spellStart"/>
      <w:r w:rsidRPr="00652F48">
        <w:rPr>
          <w:rFonts w:ascii="Times New Roman" w:hAnsi="Times New Roman" w:cs="Times New Roman"/>
          <w:i/>
          <w:sz w:val="22"/>
          <w:szCs w:val="22"/>
          <w:lang w:val="es-ES"/>
        </w:rPr>
        <w:t>Last</w:t>
      </w:r>
      <w:proofErr w:type="spellEnd"/>
      <w:r w:rsidRPr="00652F48">
        <w:rPr>
          <w:rFonts w:ascii="Times New Roman" w:hAnsi="Times New Roman" w:cs="Times New Roman"/>
          <w:i/>
          <w:sz w:val="22"/>
          <w:szCs w:val="22"/>
          <w:lang w:val="es-ES"/>
        </w:rPr>
        <w:t xml:space="preserve"> </w:t>
      </w:r>
      <w:proofErr w:type="spellStart"/>
      <w:r w:rsidRPr="00652F48">
        <w:rPr>
          <w:rFonts w:ascii="Times New Roman" w:hAnsi="Times New Roman" w:cs="Times New Roman"/>
          <w:i/>
          <w:sz w:val="22"/>
          <w:szCs w:val="22"/>
          <w:lang w:val="es-ES"/>
        </w:rPr>
        <w:t>Squares</w:t>
      </w:r>
      <w:proofErr w:type="spellEnd"/>
      <w:r w:rsidRPr="00652F48">
        <w:rPr>
          <w:rFonts w:ascii="Times New Roman" w:hAnsi="Times New Roman" w:cs="Times New Roman"/>
          <w:i/>
          <w:sz w:val="22"/>
          <w:szCs w:val="22"/>
          <w:lang w:val="es-ES"/>
        </w:rPr>
        <w:t xml:space="preserve"> </w:t>
      </w:r>
      <w:proofErr w:type="spellStart"/>
      <w:r w:rsidRPr="00652F48">
        <w:rPr>
          <w:rFonts w:ascii="Times New Roman" w:hAnsi="Times New Roman" w:cs="Times New Roman"/>
          <w:i/>
          <w:sz w:val="22"/>
          <w:szCs w:val="22"/>
          <w:lang w:val="es-ES"/>
        </w:rPr>
        <w:t>Dummy</w:t>
      </w:r>
      <w:proofErr w:type="spellEnd"/>
      <w:r w:rsidRPr="00652F48">
        <w:rPr>
          <w:rFonts w:ascii="Times New Roman" w:hAnsi="Times New Roman" w:cs="Times New Roman"/>
          <w:i/>
          <w:sz w:val="22"/>
          <w:szCs w:val="22"/>
          <w:lang w:val="es-ES"/>
        </w:rPr>
        <w:t xml:space="preserve"> Variables</w:t>
      </w:r>
      <w:r w:rsidRPr="00652F48">
        <w:rPr>
          <w:rFonts w:ascii="Times New Roman" w:hAnsi="Times New Roman" w:cs="Times New Roman"/>
          <w:sz w:val="22"/>
          <w:szCs w:val="22"/>
          <w:lang w:val="es-ES"/>
        </w:rPr>
        <w:t xml:space="preserve">. El modelo se estimó en dos variantes, el modelo </w:t>
      </w:r>
      <w:r w:rsidRPr="00652F48">
        <w:rPr>
          <w:rFonts w:ascii="Times New Roman" w:hAnsi="Times New Roman" w:cs="Times New Roman"/>
          <w:i/>
          <w:sz w:val="22"/>
          <w:szCs w:val="22"/>
          <w:lang w:val="es-ES"/>
        </w:rPr>
        <w:t xml:space="preserve"> one way </w:t>
      </w:r>
      <w:r w:rsidRPr="00652F48">
        <w:rPr>
          <w:rFonts w:ascii="Times New Roman" w:hAnsi="Times New Roman" w:cs="Times New Roman"/>
          <w:sz w:val="22"/>
          <w:szCs w:val="22"/>
          <w:lang w:val="es-ES"/>
        </w:rPr>
        <w:t xml:space="preserve"> y el modelo </w:t>
      </w:r>
      <w:r w:rsidRPr="00652F48">
        <w:rPr>
          <w:rFonts w:ascii="Times New Roman" w:hAnsi="Times New Roman" w:cs="Times New Roman"/>
          <w:i/>
          <w:sz w:val="22"/>
          <w:szCs w:val="22"/>
          <w:lang w:val="es-ES"/>
        </w:rPr>
        <w:t>two way</w:t>
      </w:r>
      <w:r w:rsidRPr="00652F48">
        <w:rPr>
          <w:rFonts w:ascii="Times New Roman" w:hAnsi="Times New Roman" w:cs="Times New Roman"/>
          <w:sz w:val="22"/>
          <w:szCs w:val="22"/>
          <w:lang w:val="es-ES"/>
        </w:rPr>
        <w:t>. Asimismo, se incluyó</w:t>
      </w:r>
      <w:r w:rsidR="004166FA" w:rsidRPr="00652F48">
        <w:rPr>
          <w:rFonts w:ascii="Times New Roman" w:hAnsi="Times New Roman" w:cs="Times New Roman"/>
          <w:sz w:val="22"/>
          <w:szCs w:val="22"/>
          <w:lang w:val="es-ES"/>
        </w:rPr>
        <w:t xml:space="preserve"> en el caso del modelo </w:t>
      </w:r>
      <w:r w:rsidR="004166FA" w:rsidRPr="00652F48">
        <w:rPr>
          <w:rFonts w:ascii="Times New Roman" w:hAnsi="Times New Roman" w:cs="Times New Roman"/>
          <w:i/>
          <w:sz w:val="22"/>
          <w:szCs w:val="22"/>
          <w:lang w:val="es-ES"/>
        </w:rPr>
        <w:t>one way</w:t>
      </w:r>
      <w:r w:rsidRPr="00652F48">
        <w:rPr>
          <w:rFonts w:ascii="Times New Roman" w:hAnsi="Times New Roman" w:cs="Times New Roman"/>
          <w:sz w:val="22"/>
          <w:szCs w:val="22"/>
          <w:lang w:val="es-ES"/>
        </w:rPr>
        <w:t xml:space="preserve"> una variable ficticia con el objeto de capturar el impacto de la pandemia de COVID-19 sobre el fenómeno estudiado.</w:t>
      </w:r>
    </w:p>
    <w:p w:rsidR="005E49E5" w:rsidRPr="00652F48" w:rsidRDefault="006C4760"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lastRenderedPageBreak/>
        <w:t xml:space="preserve">Los principales resultados muestran </w:t>
      </w:r>
      <w:r w:rsidR="00E90CB9" w:rsidRPr="00652F48">
        <w:rPr>
          <w:rFonts w:ascii="Times New Roman" w:hAnsi="Times New Roman" w:cs="Times New Roman"/>
          <w:sz w:val="22"/>
          <w:szCs w:val="22"/>
          <w:lang w:val="es-ES"/>
        </w:rPr>
        <w:t>cuatro</w:t>
      </w:r>
      <w:r w:rsidRPr="00652F48">
        <w:rPr>
          <w:rFonts w:ascii="Times New Roman" w:hAnsi="Times New Roman" w:cs="Times New Roman"/>
          <w:sz w:val="22"/>
          <w:szCs w:val="22"/>
          <w:lang w:val="es-ES"/>
        </w:rPr>
        <w:t xml:space="preserve"> factores determinantes </w:t>
      </w:r>
      <w:r w:rsidR="00E90CB9" w:rsidRPr="00652F48">
        <w:rPr>
          <w:rFonts w:ascii="Times New Roman" w:hAnsi="Times New Roman" w:cs="Times New Roman"/>
          <w:sz w:val="22"/>
          <w:szCs w:val="22"/>
          <w:lang w:val="es-ES"/>
        </w:rPr>
        <w:t>de la deuda de los hogares:</w:t>
      </w:r>
      <w:r w:rsidRPr="00652F48">
        <w:rPr>
          <w:rFonts w:ascii="Times New Roman" w:hAnsi="Times New Roman" w:cs="Times New Roman"/>
          <w:sz w:val="22"/>
          <w:szCs w:val="22"/>
          <w:lang w:val="es-ES"/>
        </w:rPr>
        <w:t xml:space="preserve"> la tasa de ahorro de los hogares, la tasa de los préstamos, la esperanza de vida, y el nivel de profundidad financiera</w:t>
      </w:r>
      <w:r w:rsidR="005E49E5" w:rsidRPr="00652F48">
        <w:rPr>
          <w:rFonts w:ascii="Times New Roman" w:hAnsi="Times New Roman" w:cs="Times New Roman"/>
          <w:sz w:val="22"/>
          <w:szCs w:val="22"/>
          <w:lang w:val="es-ES"/>
        </w:rPr>
        <w:t xml:space="preserve">. </w:t>
      </w:r>
      <w:r w:rsidRPr="00652F48">
        <w:rPr>
          <w:rFonts w:ascii="Times New Roman" w:hAnsi="Times New Roman" w:cs="Times New Roman"/>
          <w:sz w:val="22"/>
          <w:szCs w:val="22"/>
          <w:lang w:val="es-ES"/>
        </w:rPr>
        <w:t>Asimismo, la variable ficticia captura de manera satisfactoria el aumento en la deuda de los hogares en el año 2020, producto de la pandemia.</w:t>
      </w:r>
      <w:r w:rsidR="00E90CB9" w:rsidRPr="00652F48">
        <w:rPr>
          <w:rFonts w:ascii="Times New Roman" w:hAnsi="Times New Roman" w:cs="Times New Roman"/>
          <w:sz w:val="22"/>
          <w:szCs w:val="22"/>
          <w:lang w:val="es-ES"/>
        </w:rPr>
        <w:t xml:space="preserve"> Todas estas variables presentan además los signos esperados por la teoría. En relación a los valores presentados en otros estudios existen dos discrepancias fundamentales: la esperanza de vida, que presenta un efecto mucho más atenuado </w:t>
      </w:r>
      <w:r w:rsidR="00616967" w:rsidRPr="00652F48">
        <w:rPr>
          <w:rFonts w:ascii="Times New Roman" w:hAnsi="Times New Roman" w:cs="Times New Roman"/>
          <w:sz w:val="22"/>
          <w:szCs w:val="22"/>
          <w:lang w:val="es-ES"/>
        </w:rPr>
        <w:t>para la muestra aquí analizada y en relación al</w:t>
      </w:r>
      <w:r w:rsidR="00E90CB9" w:rsidRPr="00652F48">
        <w:rPr>
          <w:rFonts w:ascii="Times New Roman" w:hAnsi="Times New Roman" w:cs="Times New Roman"/>
          <w:sz w:val="22"/>
          <w:szCs w:val="22"/>
          <w:lang w:val="es-ES"/>
        </w:rPr>
        <w:t xml:space="preserve"> caso de los países desarrollados, y la tasa de los </w:t>
      </w:r>
      <w:r w:rsidR="00274409" w:rsidRPr="00652F48">
        <w:rPr>
          <w:rFonts w:ascii="Times New Roman" w:hAnsi="Times New Roman" w:cs="Times New Roman"/>
          <w:sz w:val="22"/>
          <w:szCs w:val="22"/>
          <w:lang w:val="es-ES"/>
        </w:rPr>
        <w:t>préstamos</w:t>
      </w:r>
      <w:r w:rsidR="00E90CB9" w:rsidRPr="00652F48">
        <w:rPr>
          <w:rFonts w:ascii="Times New Roman" w:hAnsi="Times New Roman" w:cs="Times New Roman"/>
          <w:sz w:val="22"/>
          <w:szCs w:val="22"/>
          <w:lang w:val="es-ES"/>
        </w:rPr>
        <w:t>, que</w:t>
      </w:r>
      <w:r w:rsidR="00274409" w:rsidRPr="00652F48">
        <w:rPr>
          <w:rFonts w:ascii="Times New Roman" w:hAnsi="Times New Roman" w:cs="Times New Roman"/>
          <w:sz w:val="22"/>
          <w:szCs w:val="22"/>
          <w:lang w:val="es-ES"/>
        </w:rPr>
        <w:t xml:space="preserve"> en otros estudios se presenta con signo positivo.</w:t>
      </w:r>
    </w:p>
    <w:p w:rsidR="00274409" w:rsidRPr="00652F48" w:rsidRDefault="00274409"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Por otra parte, no se encontró significatividad en las variables efectividad del gobierno, tasa de desempleo e inflación. Al respecto,</w:t>
      </w:r>
      <w:r w:rsidR="003A6E9B">
        <w:rPr>
          <w:rFonts w:ascii="Times New Roman" w:hAnsi="Times New Roman" w:cs="Times New Roman"/>
          <w:sz w:val="22"/>
          <w:szCs w:val="22"/>
          <w:lang w:val="es-ES"/>
        </w:rPr>
        <w:t xml:space="preserve"> es importante considerar la mar</w:t>
      </w:r>
      <w:r w:rsidRPr="00652F48">
        <w:rPr>
          <w:rFonts w:ascii="Times New Roman" w:hAnsi="Times New Roman" w:cs="Times New Roman"/>
          <w:sz w:val="22"/>
          <w:szCs w:val="22"/>
          <w:lang w:val="es-ES"/>
        </w:rPr>
        <w:t>cada disparidad que arrojan los resultados de otros estudios sobre estas variables como potenciales determinantes de la deuda de los hogares. Los resultados parecen variar de manera importante según la composición de la muestra y las técnicas de estimación utilizadas, por lo amerita continuar estudiando los canales por las que estas afectan al endeudamiento de las familias.</w:t>
      </w:r>
    </w:p>
    <w:p w:rsidR="005E49E5" w:rsidRPr="00652F48" w:rsidRDefault="005E49E5" w:rsidP="00652F48">
      <w:pPr>
        <w:pStyle w:val="Textoindependiente"/>
        <w:spacing w:line="360" w:lineRule="auto"/>
        <w:ind w:firstLine="720"/>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Este trabajo podría continuarse incorporando al análisis un conjunto de variables proxy alternativas a la cuestión de la profundización financiera. Adicionalmente, la mayor disponibilidad de datos en el futuro, permitirá no sólo incorporar a otras economías de la región sino también ampliar el período temporal, lo que habilitará la estimación por otras técnicas comúnmente utilizadas en la temática</w:t>
      </w:r>
      <w:r w:rsidR="004166FA" w:rsidRPr="00652F48">
        <w:rPr>
          <w:rFonts w:ascii="Times New Roman" w:hAnsi="Times New Roman" w:cs="Times New Roman"/>
          <w:sz w:val="22"/>
          <w:szCs w:val="22"/>
          <w:lang w:val="es-ES"/>
        </w:rPr>
        <w:t>, y vinculadas a paneles dinámicos</w:t>
      </w:r>
      <w:r w:rsidRPr="00652F48">
        <w:rPr>
          <w:rFonts w:ascii="Times New Roman" w:hAnsi="Times New Roman" w:cs="Times New Roman"/>
          <w:sz w:val="22"/>
          <w:szCs w:val="22"/>
          <w:lang w:val="es-ES"/>
        </w:rPr>
        <w:t>.</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
    <w:p w:rsidR="00977DB6" w:rsidRPr="00652F48" w:rsidRDefault="00977DB6" w:rsidP="00652F48">
      <w:pPr>
        <w:pStyle w:val="Textoindependiente"/>
        <w:spacing w:line="360" w:lineRule="auto"/>
        <w:jc w:val="both"/>
        <w:rPr>
          <w:rFonts w:ascii="Times New Roman" w:hAnsi="Times New Roman" w:cs="Times New Roman"/>
          <w:sz w:val="22"/>
          <w:szCs w:val="22"/>
          <w:lang w:val="es-ES"/>
        </w:rPr>
      </w:pPr>
    </w:p>
    <w:p w:rsidR="005E49E5" w:rsidRPr="00652F48" w:rsidRDefault="005E49E5" w:rsidP="00652F48">
      <w:pPr>
        <w:pStyle w:val="Textoindependiente"/>
        <w:spacing w:line="360" w:lineRule="auto"/>
        <w:jc w:val="both"/>
        <w:rPr>
          <w:rFonts w:ascii="Times New Roman" w:hAnsi="Times New Roman" w:cs="Times New Roman"/>
          <w:b/>
          <w:sz w:val="22"/>
          <w:szCs w:val="22"/>
          <w:lang w:val="es-ES"/>
        </w:rPr>
      </w:pPr>
      <w:r w:rsidRPr="00652F48">
        <w:rPr>
          <w:rFonts w:ascii="Times New Roman" w:hAnsi="Times New Roman" w:cs="Times New Roman"/>
          <w:b/>
          <w:sz w:val="22"/>
          <w:szCs w:val="22"/>
          <w:lang w:val="es-ES"/>
        </w:rPr>
        <w:t xml:space="preserve">Referencias </w:t>
      </w:r>
      <w:r w:rsidR="000208D5" w:rsidRPr="00652F48">
        <w:rPr>
          <w:rFonts w:ascii="Times New Roman" w:hAnsi="Times New Roman" w:cs="Times New Roman"/>
          <w:b/>
          <w:sz w:val="22"/>
          <w:szCs w:val="22"/>
          <w:lang w:val="es-ES"/>
        </w:rPr>
        <w:t>bibliográficas</w:t>
      </w:r>
    </w:p>
    <w:p w:rsidR="005E49E5" w:rsidRPr="00652F48" w:rsidRDefault="005E49E5" w:rsidP="00652F48">
      <w:pPr>
        <w:pStyle w:val="Textoindependiente"/>
        <w:spacing w:line="360" w:lineRule="auto"/>
        <w:ind w:left="426"/>
        <w:jc w:val="both"/>
        <w:rPr>
          <w:rFonts w:ascii="Times New Roman" w:hAnsi="Times New Roman" w:cs="Times New Roman"/>
          <w:b/>
          <w:sz w:val="22"/>
          <w:szCs w:val="22"/>
          <w:lang w:val="es-ES"/>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lang w:val="es-ES"/>
        </w:rPr>
        <w:t xml:space="preserve">Alter, A., Feng, A. X., y Valckx, N. (2018). </w:t>
      </w:r>
      <w:proofErr w:type="gramStart"/>
      <w:r w:rsidRPr="00652F48">
        <w:rPr>
          <w:rFonts w:ascii="Times New Roman" w:hAnsi="Times New Roman" w:cs="Times New Roman"/>
          <w:sz w:val="22"/>
          <w:szCs w:val="22"/>
        </w:rPr>
        <w:t>Understanding the Macro-financial Effects of Household Debt: A Global Perspective.</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International Monetary Fund.</w:t>
      </w:r>
      <w:proofErr w:type="gramEnd"/>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proofErr w:type="gramStart"/>
      <w:r w:rsidRPr="00652F48">
        <w:rPr>
          <w:rFonts w:ascii="Times New Roman" w:hAnsi="Times New Roman" w:cs="Times New Roman"/>
          <w:sz w:val="22"/>
          <w:szCs w:val="22"/>
        </w:rPr>
        <w:t>Ando, A., y Modigliani, F. (1963).</w:t>
      </w:r>
      <w:proofErr w:type="gramEnd"/>
      <w:r w:rsidRPr="00652F48">
        <w:rPr>
          <w:rFonts w:ascii="Times New Roman" w:hAnsi="Times New Roman" w:cs="Times New Roman"/>
          <w:sz w:val="22"/>
          <w:szCs w:val="22"/>
        </w:rPr>
        <w:t xml:space="preserve"> The "life cycle" hypothesis of saving: Aggregate implications and tests. </w:t>
      </w:r>
      <w:r w:rsidRPr="00652F48">
        <w:rPr>
          <w:rFonts w:ascii="Times New Roman" w:hAnsi="Times New Roman" w:cs="Times New Roman"/>
          <w:i/>
          <w:sz w:val="22"/>
          <w:szCs w:val="22"/>
        </w:rPr>
        <w:t>The American Economic Review</w:t>
      </w:r>
      <w:r w:rsidRPr="00652F48">
        <w:rPr>
          <w:rFonts w:ascii="Times New Roman" w:hAnsi="Times New Roman" w:cs="Times New Roman"/>
          <w:sz w:val="22"/>
          <w:szCs w:val="22"/>
        </w:rPr>
        <w:t>, 53(1), 55-84.</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proofErr w:type="gramStart"/>
      <w:r w:rsidRPr="00652F48">
        <w:rPr>
          <w:rFonts w:ascii="Times New Roman" w:hAnsi="Times New Roman" w:cs="Times New Roman"/>
          <w:sz w:val="22"/>
          <w:szCs w:val="22"/>
        </w:rPr>
        <w:t>Andreasch, M. (2017).</w:t>
      </w:r>
      <w:proofErr w:type="gramEnd"/>
      <w:r w:rsidRPr="00652F48">
        <w:rPr>
          <w:rFonts w:ascii="Times New Roman" w:hAnsi="Times New Roman" w:cs="Times New Roman"/>
          <w:sz w:val="22"/>
          <w:szCs w:val="22"/>
        </w:rPr>
        <w:t xml:space="preserve"> Households and their financial behaviour, in van de Ven, P. and D. Fano (eds.), Understanding Financial Accounts, OECD Publishing, Paris, </w:t>
      </w:r>
      <w:hyperlink r:id="rId9" w:history="1">
        <w:r w:rsidRPr="00652F48">
          <w:rPr>
            <w:rFonts w:ascii="Times New Roman" w:hAnsi="Times New Roman" w:cs="Times New Roman"/>
            <w:sz w:val="22"/>
            <w:szCs w:val="22"/>
          </w:rPr>
          <w:t>https://doi.org/10.1787/9789264281288-7-en</w:t>
        </w:r>
      </w:hyperlink>
      <w:r w:rsidRPr="00652F48">
        <w:rPr>
          <w:rFonts w:ascii="Times New Roman" w:hAnsi="Times New Roman" w:cs="Times New Roman"/>
          <w:sz w:val="22"/>
          <w:szCs w:val="22"/>
        </w:rPr>
        <w:t>.</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Andrés, J., Arce, O., Thaler, D., y Thomas, C. (2020). </w:t>
      </w:r>
      <w:proofErr w:type="gramStart"/>
      <w:r w:rsidRPr="00652F48">
        <w:rPr>
          <w:rFonts w:ascii="Times New Roman" w:hAnsi="Times New Roman" w:cs="Times New Roman"/>
          <w:sz w:val="22"/>
          <w:szCs w:val="22"/>
        </w:rPr>
        <w:t>When Fiscal Consolidation Meets Private Deleveraging.</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i/>
          <w:sz w:val="22"/>
          <w:szCs w:val="22"/>
        </w:rPr>
        <w:t>Review of Economic Dynamics</w:t>
      </w:r>
      <w:r w:rsidRPr="00652F48">
        <w:rPr>
          <w:rFonts w:ascii="Times New Roman" w:hAnsi="Times New Roman" w:cs="Times New Roman"/>
          <w:sz w:val="22"/>
          <w:szCs w:val="22"/>
        </w:rPr>
        <w:t>.</w:t>
      </w:r>
      <w:proofErr w:type="gramEnd"/>
      <w:r w:rsidRPr="00652F48">
        <w:rPr>
          <w:rFonts w:ascii="Times New Roman" w:hAnsi="Times New Roman" w:cs="Times New Roman"/>
          <w:sz w:val="22"/>
          <w:szCs w:val="22"/>
        </w:rPr>
        <w:t xml:space="preserve"> 37, 214-233. </w:t>
      </w:r>
      <w:hyperlink r:id="rId10" w:history="1">
        <w:r w:rsidRPr="00652F48">
          <w:rPr>
            <w:rFonts w:ascii="Times New Roman" w:hAnsi="Times New Roman" w:cs="Times New Roman"/>
            <w:sz w:val="22"/>
            <w:szCs w:val="22"/>
          </w:rPr>
          <w:t>https://doi.org/10.1016/j.red.2020.02.002</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proofErr w:type="gramStart"/>
      <w:r w:rsidRPr="00652F48">
        <w:rPr>
          <w:rFonts w:ascii="Times New Roman" w:hAnsi="Times New Roman" w:cs="Times New Roman"/>
          <w:sz w:val="22"/>
          <w:szCs w:val="22"/>
        </w:rPr>
        <w:t>Barnes, S., y Young, G. (2003).</w:t>
      </w:r>
      <w:proofErr w:type="gramEnd"/>
      <w:r w:rsidRPr="00652F48">
        <w:rPr>
          <w:rFonts w:ascii="Times New Roman" w:hAnsi="Times New Roman" w:cs="Times New Roman"/>
          <w:sz w:val="22"/>
          <w:szCs w:val="22"/>
        </w:rPr>
        <w:t xml:space="preserve"> The Rise in US Household Debt: Assessing its causes and Sustainability, Bank of England Working Paper No. 206.</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lang w:val="es-ES"/>
        </w:rPr>
        <w:t xml:space="preserve">Beck, N., y </w:t>
      </w:r>
      <w:proofErr w:type="spellStart"/>
      <w:r w:rsidRPr="00652F48">
        <w:rPr>
          <w:rFonts w:ascii="Times New Roman" w:hAnsi="Times New Roman" w:cs="Times New Roman"/>
          <w:sz w:val="22"/>
          <w:szCs w:val="22"/>
          <w:lang w:val="es-ES"/>
        </w:rPr>
        <w:t>Katz</w:t>
      </w:r>
      <w:proofErr w:type="spellEnd"/>
      <w:r w:rsidRPr="00652F48">
        <w:rPr>
          <w:rFonts w:ascii="Times New Roman" w:hAnsi="Times New Roman" w:cs="Times New Roman"/>
          <w:sz w:val="22"/>
          <w:szCs w:val="22"/>
          <w:lang w:val="es-ES"/>
        </w:rPr>
        <w:t xml:space="preserve">, J. N. (1995). </w:t>
      </w:r>
      <w:r w:rsidRPr="00652F48">
        <w:rPr>
          <w:rFonts w:ascii="Times New Roman" w:hAnsi="Times New Roman" w:cs="Times New Roman"/>
          <w:sz w:val="22"/>
          <w:szCs w:val="22"/>
        </w:rPr>
        <w:t xml:space="preserve">What To Do (and Not to Do) with Time-Series Cross-Section Data. </w:t>
      </w:r>
      <w:r w:rsidRPr="00652F48">
        <w:rPr>
          <w:rFonts w:ascii="Times New Roman" w:hAnsi="Times New Roman" w:cs="Times New Roman"/>
          <w:i/>
          <w:sz w:val="22"/>
          <w:szCs w:val="22"/>
        </w:rPr>
        <w:t>American Political Science Review</w:t>
      </w:r>
      <w:r w:rsidRPr="00652F48">
        <w:rPr>
          <w:rFonts w:ascii="Times New Roman" w:hAnsi="Times New Roman" w:cs="Times New Roman"/>
          <w:sz w:val="22"/>
          <w:szCs w:val="22"/>
        </w:rPr>
        <w:t xml:space="preserve">, 89(3), 634–647. </w:t>
      </w:r>
      <w:hyperlink r:id="rId11" w:history="1">
        <w:r w:rsidRPr="00652F48">
          <w:rPr>
            <w:rFonts w:ascii="Times New Roman" w:hAnsi="Times New Roman" w:cs="Times New Roman"/>
            <w:sz w:val="22"/>
            <w:szCs w:val="22"/>
          </w:rPr>
          <w:t>https://doi.org/10.2307/2082979</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3A6E9B">
        <w:rPr>
          <w:rFonts w:ascii="Times New Roman" w:hAnsi="Times New Roman" w:cs="Times New Roman"/>
          <w:sz w:val="22"/>
          <w:szCs w:val="22"/>
          <w:lang w:val="es-ES"/>
        </w:rPr>
        <w:t xml:space="preserve">Betancourt Gómez, M. E. (2013). </w:t>
      </w:r>
      <w:r w:rsidRPr="00652F48">
        <w:rPr>
          <w:rFonts w:ascii="Times New Roman" w:hAnsi="Times New Roman" w:cs="Times New Roman"/>
          <w:sz w:val="22"/>
          <w:szCs w:val="22"/>
          <w:lang w:val="es-ES"/>
        </w:rPr>
        <w:t xml:space="preserve">Análisis empírico de la Hipótesis de Equivalencia Ricardiana para México. </w:t>
      </w:r>
      <w:proofErr w:type="spellStart"/>
      <w:r w:rsidRPr="00652F48">
        <w:rPr>
          <w:rFonts w:ascii="Times New Roman" w:hAnsi="Times New Roman" w:cs="Times New Roman"/>
          <w:i/>
          <w:sz w:val="22"/>
          <w:szCs w:val="22"/>
        </w:rPr>
        <w:t>Economía</w:t>
      </w:r>
      <w:proofErr w:type="spellEnd"/>
      <w:r w:rsidRPr="00652F48">
        <w:rPr>
          <w:rFonts w:ascii="Times New Roman" w:hAnsi="Times New Roman" w:cs="Times New Roman"/>
          <w:i/>
          <w:sz w:val="22"/>
          <w:szCs w:val="22"/>
        </w:rPr>
        <w:t xml:space="preserve"> </w:t>
      </w:r>
      <w:proofErr w:type="spellStart"/>
      <w:r w:rsidRPr="00652F48">
        <w:rPr>
          <w:rFonts w:ascii="Times New Roman" w:hAnsi="Times New Roman" w:cs="Times New Roman"/>
          <w:i/>
          <w:sz w:val="22"/>
          <w:szCs w:val="22"/>
        </w:rPr>
        <w:t>Informa</w:t>
      </w:r>
      <w:proofErr w:type="spellEnd"/>
      <w:r w:rsidRPr="00652F48">
        <w:rPr>
          <w:rFonts w:ascii="Times New Roman" w:hAnsi="Times New Roman" w:cs="Times New Roman"/>
          <w:sz w:val="22"/>
          <w:szCs w:val="22"/>
        </w:rPr>
        <w:t>, 382, 76–98. https://doi.org/10.1016/s0185-</w:t>
      </w:r>
      <w:proofErr w:type="gramStart"/>
      <w:r w:rsidRPr="00652F48">
        <w:rPr>
          <w:rFonts w:ascii="Times New Roman" w:hAnsi="Times New Roman" w:cs="Times New Roman"/>
          <w:sz w:val="22"/>
          <w:szCs w:val="22"/>
        </w:rPr>
        <w:t>0849(</w:t>
      </w:r>
      <w:proofErr w:type="gramEnd"/>
      <w:r w:rsidRPr="00652F48">
        <w:rPr>
          <w:rFonts w:ascii="Times New Roman" w:hAnsi="Times New Roman" w:cs="Times New Roman"/>
          <w:sz w:val="22"/>
          <w:szCs w:val="22"/>
        </w:rPr>
        <w:t>13)71336-7</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Bouis, R. (2021). Household Deleveraging and Saving Rates: A Cross-country Analysis. </w:t>
      </w:r>
      <w:proofErr w:type="gramStart"/>
      <w:r w:rsidRPr="00652F48">
        <w:rPr>
          <w:rFonts w:ascii="Times New Roman" w:hAnsi="Times New Roman" w:cs="Times New Roman"/>
          <w:sz w:val="22"/>
          <w:szCs w:val="22"/>
        </w:rPr>
        <w:t>International Monetary Fund, February.</w:t>
      </w:r>
      <w:proofErr w:type="gramEnd"/>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Bruno, G. S. F. (2005). </w:t>
      </w:r>
      <w:proofErr w:type="gramStart"/>
      <w:r w:rsidRPr="00652F48">
        <w:rPr>
          <w:rFonts w:ascii="Times New Roman" w:hAnsi="Times New Roman" w:cs="Times New Roman"/>
          <w:sz w:val="22"/>
          <w:szCs w:val="22"/>
        </w:rPr>
        <w:t>Estimation and Inference in Dynamic Unbalanced Panel-data Models with a Small Number of Individuals.</w:t>
      </w:r>
      <w:proofErr w:type="gramEnd"/>
      <w:r w:rsidRPr="00652F48">
        <w:rPr>
          <w:rFonts w:ascii="Times New Roman" w:hAnsi="Times New Roman" w:cs="Times New Roman"/>
          <w:sz w:val="22"/>
          <w:szCs w:val="22"/>
        </w:rPr>
        <w:t xml:space="preserve"> </w:t>
      </w:r>
      <w:r w:rsidRPr="00652F48">
        <w:rPr>
          <w:rFonts w:ascii="Times New Roman" w:hAnsi="Times New Roman" w:cs="Times New Roman"/>
          <w:i/>
          <w:sz w:val="22"/>
          <w:szCs w:val="22"/>
        </w:rPr>
        <w:t xml:space="preserve">The </w:t>
      </w:r>
      <w:proofErr w:type="spellStart"/>
      <w:r w:rsidRPr="00652F48">
        <w:rPr>
          <w:rFonts w:ascii="Times New Roman" w:hAnsi="Times New Roman" w:cs="Times New Roman"/>
          <w:i/>
          <w:sz w:val="22"/>
          <w:szCs w:val="22"/>
        </w:rPr>
        <w:t>Stata</w:t>
      </w:r>
      <w:proofErr w:type="spellEnd"/>
      <w:r w:rsidRPr="00652F48">
        <w:rPr>
          <w:rFonts w:ascii="Times New Roman" w:hAnsi="Times New Roman" w:cs="Times New Roman"/>
          <w:i/>
          <w:sz w:val="22"/>
          <w:szCs w:val="22"/>
        </w:rPr>
        <w:t xml:space="preserve"> Journal</w:t>
      </w:r>
      <w:r w:rsidRPr="00652F48">
        <w:rPr>
          <w:rFonts w:ascii="Times New Roman" w:hAnsi="Times New Roman" w:cs="Times New Roman"/>
          <w:sz w:val="22"/>
          <w:szCs w:val="22"/>
        </w:rPr>
        <w:t xml:space="preserve">: Promoting Communications on Statistics and </w:t>
      </w:r>
      <w:proofErr w:type="spellStart"/>
      <w:r w:rsidRPr="00652F48">
        <w:rPr>
          <w:rFonts w:ascii="Times New Roman" w:hAnsi="Times New Roman" w:cs="Times New Roman"/>
          <w:sz w:val="22"/>
          <w:szCs w:val="22"/>
        </w:rPr>
        <w:t>Stata</w:t>
      </w:r>
      <w:proofErr w:type="spellEnd"/>
      <w:r w:rsidRPr="00652F48">
        <w:rPr>
          <w:rFonts w:ascii="Times New Roman" w:hAnsi="Times New Roman" w:cs="Times New Roman"/>
          <w:sz w:val="22"/>
          <w:szCs w:val="22"/>
        </w:rPr>
        <w:t xml:space="preserve">, 5(4), 473–500. </w:t>
      </w:r>
      <w:hyperlink r:id="rId12" w:history="1">
        <w:r w:rsidRPr="00652F48">
          <w:rPr>
            <w:rFonts w:ascii="Times New Roman" w:hAnsi="Times New Roman" w:cs="Times New Roman"/>
            <w:sz w:val="22"/>
            <w:szCs w:val="22"/>
          </w:rPr>
          <w:t>https://doi.org/10.1177/1536867x0500500401</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Campbell, J. R., y </w:t>
      </w:r>
      <w:proofErr w:type="spellStart"/>
      <w:r w:rsidRPr="00652F48">
        <w:rPr>
          <w:rFonts w:ascii="Times New Roman" w:hAnsi="Times New Roman" w:cs="Times New Roman"/>
          <w:sz w:val="22"/>
          <w:szCs w:val="22"/>
        </w:rPr>
        <w:t>Hercowitz</w:t>
      </w:r>
      <w:proofErr w:type="spellEnd"/>
      <w:r w:rsidRPr="00652F48">
        <w:rPr>
          <w:rFonts w:ascii="Times New Roman" w:hAnsi="Times New Roman" w:cs="Times New Roman"/>
          <w:sz w:val="22"/>
          <w:szCs w:val="22"/>
        </w:rPr>
        <w:t xml:space="preserve">, Z. (2005). </w:t>
      </w:r>
      <w:proofErr w:type="gramStart"/>
      <w:r w:rsidRPr="00652F48">
        <w:rPr>
          <w:rFonts w:ascii="Times New Roman" w:hAnsi="Times New Roman" w:cs="Times New Roman"/>
          <w:sz w:val="22"/>
          <w:szCs w:val="22"/>
        </w:rPr>
        <w:t>The Role of Collateralized Household Debt in Macroeconomic Stabilization.</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NBER Working Paper 11330.</w:t>
      </w:r>
      <w:proofErr w:type="gramEnd"/>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Cafiso, G. (2022). </w:t>
      </w:r>
      <w:proofErr w:type="gramStart"/>
      <w:r w:rsidRPr="00652F48">
        <w:rPr>
          <w:rFonts w:ascii="Times New Roman" w:hAnsi="Times New Roman" w:cs="Times New Roman"/>
          <w:sz w:val="22"/>
          <w:szCs w:val="22"/>
        </w:rPr>
        <w:t>Loans to Different Groups and Economic Activity at Times of Crisis and Growth.</w:t>
      </w:r>
      <w:proofErr w:type="gramEnd"/>
      <w:r w:rsidRPr="00652F48">
        <w:rPr>
          <w:rFonts w:ascii="Times New Roman" w:hAnsi="Times New Roman" w:cs="Times New Roman"/>
          <w:sz w:val="22"/>
          <w:szCs w:val="22"/>
        </w:rPr>
        <w:t xml:space="preserve"> Oxford Bulletin of </w:t>
      </w:r>
      <w:r w:rsidRPr="00652F48">
        <w:rPr>
          <w:rFonts w:ascii="Times New Roman" w:hAnsi="Times New Roman" w:cs="Times New Roman"/>
          <w:i/>
          <w:sz w:val="22"/>
          <w:szCs w:val="22"/>
        </w:rPr>
        <w:t>Economics and Statistics</w:t>
      </w:r>
      <w:r w:rsidRPr="00652F48">
        <w:rPr>
          <w:rFonts w:ascii="Times New Roman" w:hAnsi="Times New Roman" w:cs="Times New Roman"/>
          <w:sz w:val="22"/>
          <w:szCs w:val="22"/>
        </w:rPr>
        <w:t xml:space="preserve">, 84(3), 594-623. </w:t>
      </w:r>
      <w:hyperlink r:id="rId13" w:history="1">
        <w:r w:rsidRPr="00652F48">
          <w:rPr>
            <w:rFonts w:ascii="Times New Roman" w:hAnsi="Times New Roman" w:cs="Times New Roman"/>
            <w:sz w:val="22"/>
            <w:szCs w:val="22"/>
          </w:rPr>
          <w:t>https://doi.org/10.1111/obes.12474</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proofErr w:type="spellStart"/>
      <w:r w:rsidRPr="00652F48">
        <w:rPr>
          <w:rFonts w:ascii="Times New Roman" w:hAnsi="Times New Roman" w:cs="Times New Roman"/>
          <w:sz w:val="22"/>
          <w:szCs w:val="22"/>
          <w:lang w:val="es-ES"/>
        </w:rPr>
        <w:t>Cho</w:t>
      </w:r>
      <w:proofErr w:type="spellEnd"/>
      <w:r w:rsidRPr="00652F48">
        <w:rPr>
          <w:rFonts w:ascii="Times New Roman" w:hAnsi="Times New Roman" w:cs="Times New Roman"/>
          <w:sz w:val="22"/>
          <w:szCs w:val="22"/>
          <w:lang w:val="es-ES"/>
        </w:rPr>
        <w:t xml:space="preserve">, Y., </w:t>
      </w:r>
      <w:proofErr w:type="spellStart"/>
      <w:r w:rsidRPr="00652F48">
        <w:rPr>
          <w:rFonts w:ascii="Times New Roman" w:hAnsi="Times New Roman" w:cs="Times New Roman"/>
          <w:sz w:val="22"/>
          <w:szCs w:val="22"/>
          <w:lang w:val="es-ES"/>
        </w:rPr>
        <w:t>Morley</w:t>
      </w:r>
      <w:proofErr w:type="spellEnd"/>
      <w:r w:rsidRPr="00652F48">
        <w:rPr>
          <w:rFonts w:ascii="Times New Roman" w:hAnsi="Times New Roman" w:cs="Times New Roman"/>
          <w:sz w:val="22"/>
          <w:szCs w:val="22"/>
          <w:lang w:val="es-ES"/>
        </w:rPr>
        <w:t xml:space="preserve">, J., y Singh, A. (2019). </w:t>
      </w:r>
      <w:proofErr w:type="gramStart"/>
      <w:r w:rsidRPr="00652F48">
        <w:rPr>
          <w:rFonts w:ascii="Times New Roman" w:hAnsi="Times New Roman" w:cs="Times New Roman"/>
          <w:sz w:val="22"/>
          <w:szCs w:val="22"/>
        </w:rPr>
        <w:t>Household Balance Sheets and Consumption Responses to Income Shocks.</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Economics Working Paper Series, 13.</w:t>
      </w:r>
      <w:proofErr w:type="gramEnd"/>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Chotewattanakul, P., Sharpe, K., y </w:t>
      </w:r>
      <w:proofErr w:type="spellStart"/>
      <w:r w:rsidRPr="00652F48">
        <w:rPr>
          <w:rFonts w:ascii="Times New Roman" w:hAnsi="Times New Roman" w:cs="Times New Roman"/>
          <w:sz w:val="22"/>
          <w:szCs w:val="22"/>
        </w:rPr>
        <w:t>Chand</w:t>
      </w:r>
      <w:proofErr w:type="spellEnd"/>
      <w:r w:rsidRPr="00652F48">
        <w:rPr>
          <w:rFonts w:ascii="Times New Roman" w:hAnsi="Times New Roman" w:cs="Times New Roman"/>
          <w:sz w:val="22"/>
          <w:szCs w:val="22"/>
        </w:rPr>
        <w:t xml:space="preserve">, S. (2019). The Drivers of Household Indebtedness: Evidence from Thailand. </w:t>
      </w:r>
      <w:r w:rsidRPr="00652F48">
        <w:rPr>
          <w:rFonts w:ascii="Times New Roman" w:hAnsi="Times New Roman" w:cs="Times New Roman"/>
          <w:i/>
          <w:sz w:val="22"/>
          <w:szCs w:val="22"/>
        </w:rPr>
        <w:t>Southeast Asian Journal of Economics</w:t>
      </w:r>
      <w:r w:rsidRPr="00652F48">
        <w:rPr>
          <w:rFonts w:ascii="Times New Roman" w:hAnsi="Times New Roman" w:cs="Times New Roman"/>
          <w:sz w:val="22"/>
          <w:szCs w:val="22"/>
        </w:rPr>
        <w:t xml:space="preserve">, 7(1), 1–40. </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Cloyne, J. S., y Surico, P. (2017). Household Debt and the Dynamic Effects of Income tax Changes. </w:t>
      </w:r>
      <w:r w:rsidRPr="00652F48">
        <w:rPr>
          <w:rFonts w:ascii="Times New Roman" w:hAnsi="Times New Roman" w:cs="Times New Roman"/>
          <w:i/>
          <w:sz w:val="22"/>
          <w:szCs w:val="22"/>
        </w:rPr>
        <w:t>The Review of Economic Studies</w:t>
      </w:r>
      <w:r w:rsidRPr="00652F48">
        <w:rPr>
          <w:rFonts w:ascii="Times New Roman" w:hAnsi="Times New Roman" w:cs="Times New Roman"/>
          <w:sz w:val="22"/>
          <w:szCs w:val="22"/>
        </w:rPr>
        <w:t xml:space="preserve">, 84(1), 45-81. </w:t>
      </w:r>
      <w:hyperlink r:id="rId14" w:history="1">
        <w:r w:rsidRPr="00652F48">
          <w:rPr>
            <w:rFonts w:ascii="Times New Roman" w:hAnsi="Times New Roman" w:cs="Times New Roman"/>
            <w:sz w:val="22"/>
            <w:szCs w:val="22"/>
          </w:rPr>
          <w:t>https://doi.org/10.1093/restud/rdw021</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rPr>
        <w:t xml:space="preserve">Coletta, M., De </w:t>
      </w:r>
      <w:proofErr w:type="spellStart"/>
      <w:r w:rsidRPr="00652F48">
        <w:rPr>
          <w:rFonts w:ascii="Times New Roman" w:hAnsi="Times New Roman" w:cs="Times New Roman"/>
          <w:sz w:val="22"/>
          <w:szCs w:val="22"/>
        </w:rPr>
        <w:t>Bonis</w:t>
      </w:r>
      <w:proofErr w:type="spellEnd"/>
      <w:r w:rsidRPr="00652F48">
        <w:rPr>
          <w:rFonts w:ascii="Times New Roman" w:hAnsi="Times New Roman" w:cs="Times New Roman"/>
          <w:sz w:val="22"/>
          <w:szCs w:val="22"/>
        </w:rPr>
        <w:t xml:space="preserve">, R. y </w:t>
      </w:r>
      <w:proofErr w:type="spellStart"/>
      <w:r w:rsidRPr="00652F48">
        <w:rPr>
          <w:rFonts w:ascii="Times New Roman" w:hAnsi="Times New Roman" w:cs="Times New Roman"/>
          <w:sz w:val="22"/>
          <w:szCs w:val="22"/>
        </w:rPr>
        <w:t>Piermattei</w:t>
      </w:r>
      <w:proofErr w:type="spellEnd"/>
      <w:r w:rsidRPr="00652F48">
        <w:rPr>
          <w:rFonts w:ascii="Times New Roman" w:hAnsi="Times New Roman" w:cs="Times New Roman"/>
          <w:sz w:val="22"/>
          <w:szCs w:val="22"/>
        </w:rPr>
        <w:t>, S. (2019). Household Debt in OECD Countries: The Role of Supply‑</w:t>
      </w:r>
      <w:proofErr w:type="spellStart"/>
      <w:r w:rsidRPr="00652F48">
        <w:rPr>
          <w:rFonts w:ascii="Times New Roman" w:hAnsi="Times New Roman" w:cs="Times New Roman"/>
          <w:sz w:val="22"/>
          <w:szCs w:val="22"/>
        </w:rPr>
        <w:t>Side</w:t>
      </w:r>
      <w:proofErr w:type="spellEnd"/>
      <w:r w:rsidRPr="00652F48">
        <w:rPr>
          <w:rFonts w:ascii="Times New Roman" w:hAnsi="Times New Roman" w:cs="Times New Roman"/>
          <w:sz w:val="22"/>
          <w:szCs w:val="22"/>
        </w:rPr>
        <w:t xml:space="preserve"> and Demand-Side Factors, </w:t>
      </w:r>
      <w:r w:rsidRPr="00652F48">
        <w:rPr>
          <w:rFonts w:ascii="Times New Roman" w:hAnsi="Times New Roman" w:cs="Times New Roman"/>
          <w:i/>
          <w:sz w:val="22"/>
          <w:szCs w:val="22"/>
        </w:rPr>
        <w:t>Social Indicators Research</w:t>
      </w:r>
      <w:r w:rsidRPr="00652F48">
        <w:rPr>
          <w:rFonts w:ascii="Times New Roman" w:hAnsi="Times New Roman" w:cs="Times New Roman"/>
          <w:sz w:val="22"/>
          <w:szCs w:val="22"/>
        </w:rPr>
        <w:t xml:space="preserve">, 143(3), 1185-1217. </w:t>
      </w:r>
      <w:hyperlink r:id="rId15" w:history="1">
        <w:r w:rsidRPr="00652F48">
          <w:rPr>
            <w:rFonts w:ascii="Times New Roman" w:hAnsi="Times New Roman" w:cs="Times New Roman"/>
            <w:sz w:val="22"/>
            <w:szCs w:val="22"/>
            <w:lang w:val="es-ES"/>
          </w:rPr>
          <w:t>https://doi.org/10.1007/s11205-018-2024-y</w:t>
        </w:r>
      </w:hyperlink>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lang w:val="es-ES"/>
        </w:rPr>
        <w:lastRenderedPageBreak/>
        <w:t xml:space="preserve">Cooper, D., y </w:t>
      </w:r>
      <w:proofErr w:type="spellStart"/>
      <w:r w:rsidRPr="00652F48">
        <w:rPr>
          <w:rFonts w:ascii="Times New Roman" w:hAnsi="Times New Roman" w:cs="Times New Roman"/>
          <w:sz w:val="22"/>
          <w:szCs w:val="22"/>
          <w:lang w:val="es-ES"/>
        </w:rPr>
        <w:t>Dynan</w:t>
      </w:r>
      <w:proofErr w:type="spellEnd"/>
      <w:r w:rsidRPr="00652F48">
        <w:rPr>
          <w:rFonts w:ascii="Times New Roman" w:hAnsi="Times New Roman" w:cs="Times New Roman"/>
          <w:sz w:val="22"/>
          <w:szCs w:val="22"/>
          <w:lang w:val="es-ES"/>
        </w:rPr>
        <w:t xml:space="preserve">, K. (2014). </w:t>
      </w:r>
      <w:proofErr w:type="gramStart"/>
      <w:r w:rsidRPr="00652F48">
        <w:rPr>
          <w:rFonts w:ascii="Times New Roman" w:hAnsi="Times New Roman" w:cs="Times New Roman"/>
          <w:sz w:val="22"/>
          <w:szCs w:val="22"/>
        </w:rPr>
        <w:t>Wealth Effects and Macroeconomic Dynamics.</w:t>
      </w:r>
      <w:proofErr w:type="gramEnd"/>
      <w:r w:rsidRPr="00652F48">
        <w:rPr>
          <w:rFonts w:ascii="Times New Roman" w:hAnsi="Times New Roman" w:cs="Times New Roman"/>
          <w:sz w:val="22"/>
          <w:szCs w:val="22"/>
        </w:rPr>
        <w:t xml:space="preserve"> </w:t>
      </w:r>
      <w:r w:rsidRPr="00652F48">
        <w:rPr>
          <w:rFonts w:ascii="Times New Roman" w:hAnsi="Times New Roman" w:cs="Times New Roman"/>
          <w:i/>
          <w:sz w:val="22"/>
          <w:szCs w:val="22"/>
        </w:rPr>
        <w:t>Journal of Economic Surveys</w:t>
      </w:r>
      <w:r w:rsidRPr="00652F48">
        <w:rPr>
          <w:rFonts w:ascii="Times New Roman" w:hAnsi="Times New Roman" w:cs="Times New Roman"/>
          <w:sz w:val="22"/>
          <w:szCs w:val="22"/>
        </w:rPr>
        <w:t xml:space="preserve">, 30(1), 34–55. </w:t>
      </w:r>
      <w:hyperlink r:id="rId16" w:history="1">
        <w:r w:rsidRPr="00652F48">
          <w:rPr>
            <w:rFonts w:ascii="Times New Roman" w:hAnsi="Times New Roman" w:cs="Times New Roman"/>
            <w:sz w:val="22"/>
            <w:szCs w:val="22"/>
          </w:rPr>
          <w:t>https://doi.org/10.1111/joes.12090</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proofErr w:type="gramStart"/>
      <w:r w:rsidRPr="00652F48">
        <w:rPr>
          <w:rFonts w:ascii="Times New Roman" w:hAnsi="Times New Roman" w:cs="Times New Roman"/>
          <w:sz w:val="22"/>
          <w:szCs w:val="22"/>
        </w:rPr>
        <w:t xml:space="preserve">Davies, J. B., </w:t>
      </w:r>
      <w:proofErr w:type="spellStart"/>
      <w:r w:rsidRPr="00652F48">
        <w:rPr>
          <w:rFonts w:ascii="Times New Roman" w:hAnsi="Times New Roman" w:cs="Times New Roman"/>
          <w:sz w:val="22"/>
          <w:szCs w:val="22"/>
        </w:rPr>
        <w:t>Sandström</w:t>
      </w:r>
      <w:proofErr w:type="spellEnd"/>
      <w:r w:rsidRPr="00652F48">
        <w:rPr>
          <w:rFonts w:ascii="Times New Roman" w:hAnsi="Times New Roman" w:cs="Times New Roman"/>
          <w:sz w:val="22"/>
          <w:szCs w:val="22"/>
        </w:rPr>
        <w:t xml:space="preserve">, S., </w:t>
      </w:r>
      <w:proofErr w:type="spellStart"/>
      <w:r w:rsidRPr="00652F48">
        <w:rPr>
          <w:rFonts w:ascii="Times New Roman" w:hAnsi="Times New Roman" w:cs="Times New Roman"/>
          <w:sz w:val="22"/>
          <w:szCs w:val="22"/>
        </w:rPr>
        <w:t>Shorrocks</w:t>
      </w:r>
      <w:proofErr w:type="spellEnd"/>
      <w:r w:rsidRPr="00652F48">
        <w:rPr>
          <w:rFonts w:ascii="Times New Roman" w:hAnsi="Times New Roman" w:cs="Times New Roman"/>
          <w:sz w:val="22"/>
          <w:szCs w:val="22"/>
        </w:rPr>
        <w:t>, A., y Wolff, E. N. (2010).</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The Level and Distribution of Global Household Wealth.</w:t>
      </w:r>
      <w:proofErr w:type="gramEnd"/>
      <w:r w:rsidRPr="00652F48">
        <w:rPr>
          <w:rFonts w:ascii="Times New Roman" w:hAnsi="Times New Roman" w:cs="Times New Roman"/>
          <w:sz w:val="22"/>
          <w:szCs w:val="22"/>
        </w:rPr>
        <w:t xml:space="preserve"> </w:t>
      </w:r>
      <w:r w:rsidRPr="00652F48">
        <w:rPr>
          <w:rFonts w:ascii="Times New Roman" w:hAnsi="Times New Roman" w:cs="Times New Roman"/>
          <w:i/>
          <w:sz w:val="22"/>
          <w:szCs w:val="22"/>
        </w:rPr>
        <w:t>The Economic Journal</w:t>
      </w:r>
      <w:r w:rsidRPr="00652F48">
        <w:rPr>
          <w:rFonts w:ascii="Times New Roman" w:hAnsi="Times New Roman" w:cs="Times New Roman"/>
          <w:sz w:val="22"/>
          <w:szCs w:val="22"/>
        </w:rPr>
        <w:t>, 121(551), 223–254. doi:10.1111/j.1468-0297.2010.02391.x</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Debelle, G. (2004). </w:t>
      </w:r>
      <w:proofErr w:type="gramStart"/>
      <w:r w:rsidRPr="00652F48">
        <w:rPr>
          <w:rFonts w:ascii="Times New Roman" w:hAnsi="Times New Roman" w:cs="Times New Roman"/>
          <w:sz w:val="22"/>
          <w:szCs w:val="22"/>
        </w:rPr>
        <w:t>Macroeconomic  Implications</w:t>
      </w:r>
      <w:proofErr w:type="gramEnd"/>
      <w:r w:rsidRPr="00652F48">
        <w:rPr>
          <w:rFonts w:ascii="Times New Roman" w:hAnsi="Times New Roman" w:cs="Times New Roman"/>
          <w:sz w:val="22"/>
          <w:szCs w:val="22"/>
        </w:rPr>
        <w:t xml:space="preserve">  of  Rising  Household  Debt (Working Paper No. 153). Basel: Bank for International Settlements.</w:t>
      </w:r>
    </w:p>
    <w:p w:rsidR="00E6026A" w:rsidRPr="00652F48" w:rsidRDefault="00E6026A" w:rsidP="00652F48">
      <w:pPr>
        <w:pStyle w:val="Textoindependiente"/>
        <w:spacing w:line="360" w:lineRule="auto"/>
        <w:jc w:val="both"/>
        <w:rPr>
          <w:rFonts w:ascii="Times New Roman" w:hAnsi="Times New Roman" w:cs="Times New Roman"/>
          <w:sz w:val="22"/>
          <w:szCs w:val="22"/>
        </w:rPr>
      </w:pPr>
    </w:p>
    <w:p w:rsidR="00E6026A" w:rsidRPr="00652F48" w:rsidRDefault="00E6026A" w:rsidP="00652F48">
      <w:pPr>
        <w:pStyle w:val="Textoindependiente"/>
        <w:spacing w:line="360" w:lineRule="auto"/>
        <w:jc w:val="both"/>
        <w:rPr>
          <w:rFonts w:ascii="Times New Roman" w:hAnsi="Times New Roman" w:cs="Times New Roman"/>
          <w:sz w:val="22"/>
          <w:szCs w:val="22"/>
        </w:rPr>
      </w:pPr>
      <w:proofErr w:type="spellStart"/>
      <w:r w:rsidRPr="003A6E9B">
        <w:rPr>
          <w:rFonts w:ascii="Times New Roman" w:hAnsi="Times New Roman" w:cs="Times New Roman"/>
          <w:sz w:val="22"/>
          <w:szCs w:val="22"/>
          <w:lang w:val="es-ES"/>
        </w:rPr>
        <w:t>Dumitrescu</w:t>
      </w:r>
      <w:proofErr w:type="spellEnd"/>
      <w:r w:rsidRPr="003A6E9B">
        <w:rPr>
          <w:rFonts w:ascii="Times New Roman" w:hAnsi="Times New Roman" w:cs="Times New Roman"/>
          <w:sz w:val="22"/>
          <w:szCs w:val="22"/>
          <w:lang w:val="es-ES"/>
        </w:rPr>
        <w:t xml:space="preserve">, B. A., </w:t>
      </w:r>
      <w:proofErr w:type="spellStart"/>
      <w:r w:rsidRPr="003A6E9B">
        <w:rPr>
          <w:rFonts w:ascii="Times New Roman" w:hAnsi="Times New Roman" w:cs="Times New Roman"/>
          <w:sz w:val="22"/>
          <w:szCs w:val="22"/>
          <w:lang w:val="es-ES"/>
        </w:rPr>
        <w:t>Enciu</w:t>
      </w:r>
      <w:proofErr w:type="spellEnd"/>
      <w:r w:rsidRPr="003A6E9B">
        <w:rPr>
          <w:rFonts w:ascii="Times New Roman" w:hAnsi="Times New Roman" w:cs="Times New Roman"/>
          <w:sz w:val="22"/>
          <w:szCs w:val="22"/>
          <w:lang w:val="es-ES"/>
        </w:rPr>
        <w:t xml:space="preserve">, A., </w:t>
      </w:r>
      <w:proofErr w:type="spellStart"/>
      <w:r w:rsidRPr="003A6E9B">
        <w:rPr>
          <w:rFonts w:ascii="Times New Roman" w:hAnsi="Times New Roman" w:cs="Times New Roman"/>
          <w:sz w:val="22"/>
          <w:szCs w:val="22"/>
          <w:lang w:val="es-ES"/>
        </w:rPr>
        <w:t>Hândoreanu</w:t>
      </w:r>
      <w:proofErr w:type="spellEnd"/>
      <w:r w:rsidRPr="003A6E9B">
        <w:rPr>
          <w:rFonts w:ascii="Times New Roman" w:hAnsi="Times New Roman" w:cs="Times New Roman"/>
          <w:sz w:val="22"/>
          <w:szCs w:val="22"/>
          <w:lang w:val="es-ES"/>
        </w:rPr>
        <w:t xml:space="preserve">, C. A., </w:t>
      </w:r>
      <w:proofErr w:type="spellStart"/>
      <w:r w:rsidRPr="003A6E9B">
        <w:rPr>
          <w:rFonts w:ascii="Times New Roman" w:hAnsi="Times New Roman" w:cs="Times New Roman"/>
          <w:sz w:val="22"/>
          <w:szCs w:val="22"/>
          <w:lang w:val="es-ES"/>
        </w:rPr>
        <w:t>Obreja</w:t>
      </w:r>
      <w:proofErr w:type="spellEnd"/>
      <w:r w:rsidRPr="003A6E9B">
        <w:rPr>
          <w:rFonts w:ascii="Times New Roman" w:hAnsi="Times New Roman" w:cs="Times New Roman"/>
          <w:sz w:val="22"/>
          <w:szCs w:val="22"/>
          <w:lang w:val="es-ES"/>
        </w:rPr>
        <w:t xml:space="preserve">, C., </w:t>
      </w:r>
      <w:r w:rsidR="0012557D" w:rsidRPr="003A6E9B">
        <w:rPr>
          <w:rFonts w:ascii="Times New Roman" w:hAnsi="Times New Roman" w:cs="Times New Roman"/>
          <w:sz w:val="22"/>
          <w:szCs w:val="22"/>
          <w:lang w:val="es-ES"/>
        </w:rPr>
        <w:t>y</w:t>
      </w:r>
      <w:r w:rsidRPr="003A6E9B">
        <w:rPr>
          <w:rFonts w:ascii="Times New Roman" w:hAnsi="Times New Roman" w:cs="Times New Roman"/>
          <w:sz w:val="22"/>
          <w:szCs w:val="22"/>
          <w:lang w:val="es-ES"/>
        </w:rPr>
        <w:t xml:space="preserve"> </w:t>
      </w:r>
      <w:proofErr w:type="spellStart"/>
      <w:r w:rsidRPr="003A6E9B">
        <w:rPr>
          <w:rFonts w:ascii="Times New Roman" w:hAnsi="Times New Roman" w:cs="Times New Roman"/>
          <w:sz w:val="22"/>
          <w:szCs w:val="22"/>
          <w:lang w:val="es-ES"/>
        </w:rPr>
        <w:t>Blaga</w:t>
      </w:r>
      <w:proofErr w:type="spellEnd"/>
      <w:r w:rsidRPr="003A6E9B">
        <w:rPr>
          <w:rFonts w:ascii="Times New Roman" w:hAnsi="Times New Roman" w:cs="Times New Roman"/>
          <w:sz w:val="22"/>
          <w:szCs w:val="22"/>
          <w:lang w:val="es-ES"/>
        </w:rPr>
        <w:t xml:space="preserve">, F. (2022). </w:t>
      </w:r>
      <w:proofErr w:type="gramStart"/>
      <w:r w:rsidRPr="00652F48">
        <w:rPr>
          <w:rFonts w:ascii="Times New Roman" w:hAnsi="Times New Roman" w:cs="Times New Roman"/>
          <w:sz w:val="22"/>
          <w:szCs w:val="22"/>
        </w:rPr>
        <w:t>Macroeconomic determinants of household debt in OECD countries.</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i/>
          <w:sz w:val="22"/>
          <w:szCs w:val="22"/>
        </w:rPr>
        <w:t>Sustainability</w:t>
      </w:r>
      <w:r w:rsidRPr="00652F48">
        <w:rPr>
          <w:rFonts w:ascii="Times New Roman" w:hAnsi="Times New Roman" w:cs="Times New Roman"/>
          <w:sz w:val="22"/>
          <w:szCs w:val="22"/>
        </w:rPr>
        <w:t>, 14(7), 3977.</w:t>
      </w:r>
      <w:proofErr w:type="gramEnd"/>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rPr>
        <w:t xml:space="preserve">Endut, N., y Hua, T. G. (2009). Household Debt: Implications for Monetary Policy and Financial Stability (Working Paper 46: 1-3). </w:t>
      </w:r>
      <w:proofErr w:type="spellStart"/>
      <w:r w:rsidRPr="00652F48">
        <w:rPr>
          <w:rFonts w:ascii="Times New Roman" w:hAnsi="Times New Roman" w:cs="Times New Roman"/>
          <w:sz w:val="22"/>
          <w:szCs w:val="22"/>
          <w:lang w:val="es-ES"/>
        </w:rPr>
        <w:t>Basel</w:t>
      </w:r>
      <w:proofErr w:type="spellEnd"/>
      <w:r w:rsidRPr="00652F48">
        <w:rPr>
          <w:rFonts w:ascii="Times New Roman" w:hAnsi="Times New Roman" w:cs="Times New Roman"/>
          <w:sz w:val="22"/>
          <w:szCs w:val="22"/>
          <w:lang w:val="es-ES"/>
        </w:rPr>
        <w:t>: Bank for International Settlements.</w:t>
      </w: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lang w:val="es-ES"/>
        </w:rPr>
        <w:t xml:space="preserve">Ferreres, O. J. (2005). Dos siglos de economía argentina, 1810-2004: historia argentina en cifras. </w:t>
      </w:r>
      <w:proofErr w:type="gramStart"/>
      <w:r w:rsidRPr="00652F48">
        <w:rPr>
          <w:rFonts w:ascii="Times New Roman" w:hAnsi="Times New Roman" w:cs="Times New Roman"/>
          <w:sz w:val="22"/>
          <w:szCs w:val="22"/>
        </w:rPr>
        <w:t>Editorial El Ateneo.</w:t>
      </w:r>
      <w:proofErr w:type="gramEnd"/>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Filardo, A. (2009). Household Debt, Monetary Policy and Financial Stability: Still Searching for a Unifying Model. Bank for International Settlements (ed.), Household Debt: Implications for Monetary Policy and Financial Stability, BIS Papers, (46), 31-50.</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r w:rsidRPr="00652F48">
        <w:rPr>
          <w:rFonts w:ascii="Times New Roman" w:hAnsi="Times New Roman" w:cs="Times New Roman"/>
          <w:sz w:val="22"/>
          <w:szCs w:val="22"/>
          <w:lang w:val="es-ES"/>
        </w:rPr>
        <w:t xml:space="preserve">Frank, R. H., </w:t>
      </w:r>
      <w:proofErr w:type="spellStart"/>
      <w:r w:rsidRPr="00652F48">
        <w:rPr>
          <w:rFonts w:ascii="Times New Roman" w:hAnsi="Times New Roman" w:cs="Times New Roman"/>
          <w:sz w:val="22"/>
          <w:szCs w:val="22"/>
          <w:lang w:val="es-ES"/>
        </w:rPr>
        <w:t>Levine</w:t>
      </w:r>
      <w:proofErr w:type="spellEnd"/>
      <w:r w:rsidRPr="00652F48">
        <w:rPr>
          <w:rFonts w:ascii="Times New Roman" w:hAnsi="Times New Roman" w:cs="Times New Roman"/>
          <w:sz w:val="22"/>
          <w:szCs w:val="22"/>
          <w:lang w:val="es-ES"/>
        </w:rPr>
        <w:t xml:space="preserve">, A. S. y </w:t>
      </w:r>
      <w:proofErr w:type="spellStart"/>
      <w:r w:rsidRPr="00652F48">
        <w:rPr>
          <w:rFonts w:ascii="Times New Roman" w:hAnsi="Times New Roman" w:cs="Times New Roman"/>
          <w:sz w:val="22"/>
          <w:szCs w:val="22"/>
          <w:lang w:val="es-ES"/>
        </w:rPr>
        <w:t>Dijk</w:t>
      </w:r>
      <w:proofErr w:type="spellEnd"/>
      <w:r w:rsidRPr="00652F48">
        <w:rPr>
          <w:rFonts w:ascii="Times New Roman" w:hAnsi="Times New Roman" w:cs="Times New Roman"/>
          <w:sz w:val="22"/>
          <w:szCs w:val="22"/>
          <w:lang w:val="es-ES"/>
        </w:rPr>
        <w:t xml:space="preserve">, O. (2014). </w:t>
      </w:r>
      <w:proofErr w:type="gramStart"/>
      <w:r w:rsidRPr="00652F48">
        <w:rPr>
          <w:rFonts w:ascii="Times New Roman" w:hAnsi="Times New Roman" w:cs="Times New Roman"/>
          <w:sz w:val="22"/>
          <w:szCs w:val="22"/>
        </w:rPr>
        <w:t>Expenditure Cascades.</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i/>
          <w:sz w:val="22"/>
          <w:szCs w:val="22"/>
        </w:rPr>
        <w:t>Review of Behavioral Economics</w:t>
      </w:r>
      <w:r w:rsidRPr="00652F48">
        <w:rPr>
          <w:rFonts w:ascii="Times New Roman" w:hAnsi="Times New Roman" w:cs="Times New Roman"/>
          <w:sz w:val="22"/>
          <w:szCs w:val="22"/>
        </w:rPr>
        <w:t>.</w:t>
      </w:r>
      <w:proofErr w:type="gramEnd"/>
      <w:r w:rsidRPr="00652F48">
        <w:rPr>
          <w:rFonts w:ascii="Times New Roman" w:hAnsi="Times New Roman" w:cs="Times New Roman"/>
          <w:sz w:val="22"/>
          <w:szCs w:val="22"/>
        </w:rPr>
        <w:t xml:space="preserve"> </w:t>
      </w:r>
      <w:r w:rsidRPr="00652F48">
        <w:rPr>
          <w:rFonts w:ascii="Times New Roman" w:hAnsi="Times New Roman" w:cs="Times New Roman"/>
          <w:sz w:val="22"/>
          <w:szCs w:val="22"/>
          <w:lang w:val="es-ES"/>
        </w:rPr>
        <w:t xml:space="preserve">1 (1–2):55–73. </w:t>
      </w:r>
      <w:hyperlink r:id="rId17" w:history="1">
        <w:r w:rsidRPr="00652F48">
          <w:rPr>
            <w:rFonts w:ascii="Times New Roman" w:hAnsi="Times New Roman" w:cs="Times New Roman"/>
            <w:sz w:val="22"/>
            <w:szCs w:val="22"/>
            <w:lang w:val="es-ES"/>
          </w:rPr>
          <w:t>http://dx.doi.org/10.1561/105.00000003</w:t>
        </w:r>
      </w:hyperlink>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
    <w:p w:rsidR="005E49E5" w:rsidRPr="00652F48" w:rsidRDefault="005E49E5" w:rsidP="00652F48">
      <w:pPr>
        <w:pStyle w:val="Textoindependiente"/>
        <w:spacing w:line="360" w:lineRule="auto"/>
        <w:jc w:val="both"/>
        <w:rPr>
          <w:rFonts w:ascii="Times New Roman" w:hAnsi="Times New Roman" w:cs="Times New Roman"/>
          <w:sz w:val="22"/>
          <w:szCs w:val="22"/>
        </w:rPr>
      </w:pPr>
      <w:proofErr w:type="gramStart"/>
      <w:r w:rsidRPr="003A6E9B">
        <w:rPr>
          <w:rFonts w:ascii="Times New Roman" w:hAnsi="Times New Roman" w:cs="Times New Roman"/>
          <w:sz w:val="22"/>
          <w:szCs w:val="22"/>
        </w:rPr>
        <w:t xml:space="preserve">Garber, G., Mian, A., </w:t>
      </w:r>
      <w:proofErr w:type="spellStart"/>
      <w:r w:rsidRPr="003A6E9B">
        <w:rPr>
          <w:rFonts w:ascii="Times New Roman" w:hAnsi="Times New Roman" w:cs="Times New Roman"/>
          <w:sz w:val="22"/>
          <w:szCs w:val="22"/>
        </w:rPr>
        <w:t>Ponticelli</w:t>
      </w:r>
      <w:proofErr w:type="spellEnd"/>
      <w:r w:rsidRPr="003A6E9B">
        <w:rPr>
          <w:rFonts w:ascii="Times New Roman" w:hAnsi="Times New Roman" w:cs="Times New Roman"/>
          <w:sz w:val="22"/>
          <w:szCs w:val="22"/>
        </w:rPr>
        <w:t>, J., y Sufi, A. (2019).</w:t>
      </w:r>
      <w:proofErr w:type="gramEnd"/>
      <w:r w:rsidRPr="003A6E9B">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Household Debt and Recession in Brazil.</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In Handbook of US Consumer Economics (pp. 97-119).</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Academic Press.</w:t>
      </w:r>
      <w:proofErr w:type="gramEnd"/>
      <w:r w:rsidRPr="00652F48">
        <w:rPr>
          <w:rFonts w:ascii="Times New Roman" w:hAnsi="Times New Roman" w:cs="Times New Roman"/>
          <w:sz w:val="22"/>
          <w:szCs w:val="22"/>
        </w:rPr>
        <w:t xml:space="preserve"> </w:t>
      </w:r>
      <w:hyperlink r:id="rId18" w:history="1">
        <w:r w:rsidRPr="00652F48">
          <w:rPr>
            <w:rFonts w:ascii="Times New Roman" w:hAnsi="Times New Roman" w:cs="Times New Roman"/>
            <w:sz w:val="22"/>
            <w:szCs w:val="22"/>
          </w:rPr>
          <w:t>https://doi.org/10.1016/B978-0-12-813524-2.00004-4</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Hiilamo, H. (2018). </w:t>
      </w:r>
      <w:proofErr w:type="gramStart"/>
      <w:r w:rsidRPr="00652F48">
        <w:rPr>
          <w:rFonts w:ascii="Times New Roman" w:hAnsi="Times New Roman" w:cs="Times New Roman"/>
          <w:sz w:val="22"/>
          <w:szCs w:val="22"/>
        </w:rPr>
        <w:t>Household Debt and Economic Crises.</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Edward Elgar Publishing.</w:t>
      </w:r>
      <w:proofErr w:type="gramEnd"/>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Jordà, </w:t>
      </w:r>
      <w:proofErr w:type="gramStart"/>
      <w:r w:rsidRPr="00652F48">
        <w:rPr>
          <w:rFonts w:ascii="Times New Roman" w:hAnsi="Times New Roman" w:cs="Times New Roman"/>
          <w:sz w:val="22"/>
          <w:szCs w:val="22"/>
        </w:rPr>
        <w:t>Ò.,</w:t>
      </w:r>
      <w:proofErr w:type="gramEnd"/>
      <w:r w:rsidRPr="00652F48">
        <w:rPr>
          <w:rFonts w:ascii="Times New Roman" w:hAnsi="Times New Roman" w:cs="Times New Roman"/>
          <w:sz w:val="22"/>
          <w:szCs w:val="22"/>
        </w:rPr>
        <w:t xml:space="preserve"> </w:t>
      </w:r>
      <w:proofErr w:type="spellStart"/>
      <w:r w:rsidRPr="00652F48">
        <w:rPr>
          <w:rFonts w:ascii="Times New Roman" w:hAnsi="Times New Roman" w:cs="Times New Roman"/>
          <w:sz w:val="22"/>
          <w:szCs w:val="22"/>
        </w:rPr>
        <w:t>Schularick</w:t>
      </w:r>
      <w:proofErr w:type="spellEnd"/>
      <w:r w:rsidRPr="00652F48">
        <w:rPr>
          <w:rFonts w:ascii="Times New Roman" w:hAnsi="Times New Roman" w:cs="Times New Roman"/>
          <w:sz w:val="22"/>
          <w:szCs w:val="22"/>
        </w:rPr>
        <w:t xml:space="preserve">, M., y Taylor, A. M. (2016). The Great Mortgaging: Housing Finance, Crises and Business Cycles. </w:t>
      </w:r>
      <w:proofErr w:type="gramStart"/>
      <w:r w:rsidRPr="00652F48">
        <w:rPr>
          <w:rFonts w:ascii="Times New Roman" w:hAnsi="Times New Roman" w:cs="Times New Roman"/>
          <w:i/>
          <w:sz w:val="22"/>
          <w:szCs w:val="22"/>
        </w:rPr>
        <w:t>Economic policy</w:t>
      </w:r>
      <w:r w:rsidRPr="00652F48">
        <w:rPr>
          <w:rFonts w:ascii="Times New Roman" w:hAnsi="Times New Roman" w:cs="Times New Roman"/>
          <w:sz w:val="22"/>
          <w:szCs w:val="22"/>
        </w:rPr>
        <w:t>, 31(85), 107-152.</w:t>
      </w:r>
      <w:proofErr w:type="gramEnd"/>
      <w:r w:rsidRPr="00652F48">
        <w:rPr>
          <w:rFonts w:ascii="Times New Roman" w:hAnsi="Times New Roman" w:cs="Times New Roman"/>
          <w:sz w:val="22"/>
          <w:szCs w:val="22"/>
        </w:rPr>
        <w:t xml:space="preserve"> </w:t>
      </w:r>
      <w:hyperlink r:id="rId19" w:history="1">
        <w:r w:rsidRPr="00652F48">
          <w:rPr>
            <w:rFonts w:ascii="Times New Roman" w:hAnsi="Times New Roman" w:cs="Times New Roman"/>
            <w:sz w:val="22"/>
            <w:szCs w:val="22"/>
          </w:rPr>
          <w:t>https://doi.org/10.1093/epolic/eiv017</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lastRenderedPageBreak/>
        <w:t xml:space="preserve">Kim, Y. I., y Hwang, M. (2016). Household Debt and Consumer Spending in Korea: Evidence from Household Data. </w:t>
      </w:r>
      <w:r w:rsidRPr="00652F48">
        <w:rPr>
          <w:rFonts w:ascii="Times New Roman" w:hAnsi="Times New Roman" w:cs="Times New Roman"/>
          <w:i/>
          <w:sz w:val="22"/>
          <w:szCs w:val="22"/>
        </w:rPr>
        <w:t>KDI Journal of Economic Policy</w:t>
      </w:r>
      <w:r w:rsidRPr="00652F48">
        <w:rPr>
          <w:rFonts w:ascii="Times New Roman" w:hAnsi="Times New Roman" w:cs="Times New Roman"/>
          <w:sz w:val="22"/>
          <w:szCs w:val="22"/>
        </w:rPr>
        <w:t xml:space="preserve">, 38(4), 23-44. </w:t>
      </w:r>
      <w:hyperlink r:id="rId20" w:history="1">
        <w:r w:rsidRPr="00652F48">
          <w:rPr>
            <w:rFonts w:ascii="Times New Roman" w:hAnsi="Times New Roman" w:cs="Times New Roman"/>
            <w:sz w:val="22"/>
            <w:szCs w:val="22"/>
          </w:rPr>
          <w:t>https://doi.org/10.23895%2Fkdijep.2016.38.4.23</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roofErr w:type="gramStart"/>
      <w:r w:rsidRPr="00652F48">
        <w:rPr>
          <w:rFonts w:ascii="Times New Roman" w:hAnsi="Times New Roman" w:cs="Times New Roman"/>
          <w:sz w:val="22"/>
          <w:szCs w:val="22"/>
        </w:rPr>
        <w:t>Klein, M. (2015).</w:t>
      </w:r>
      <w:proofErr w:type="gramEnd"/>
      <w:r w:rsidRPr="00652F48">
        <w:rPr>
          <w:rFonts w:ascii="Times New Roman" w:hAnsi="Times New Roman" w:cs="Times New Roman"/>
          <w:sz w:val="22"/>
          <w:szCs w:val="22"/>
        </w:rPr>
        <w:t xml:space="preserve"> Inequality and Household Debt: a Panel </w:t>
      </w:r>
      <w:proofErr w:type="spellStart"/>
      <w:r w:rsidRPr="00652F48">
        <w:rPr>
          <w:rFonts w:ascii="Times New Roman" w:hAnsi="Times New Roman" w:cs="Times New Roman"/>
          <w:sz w:val="22"/>
          <w:szCs w:val="22"/>
        </w:rPr>
        <w:t>Cointegration</w:t>
      </w:r>
      <w:proofErr w:type="spellEnd"/>
      <w:r w:rsidRPr="00652F48">
        <w:rPr>
          <w:rFonts w:ascii="Times New Roman" w:hAnsi="Times New Roman" w:cs="Times New Roman"/>
          <w:sz w:val="22"/>
          <w:szCs w:val="22"/>
        </w:rPr>
        <w:t xml:space="preserve"> Analysis. </w:t>
      </w:r>
      <w:proofErr w:type="spellStart"/>
      <w:r w:rsidRPr="00652F48">
        <w:rPr>
          <w:rFonts w:ascii="Times New Roman" w:hAnsi="Times New Roman" w:cs="Times New Roman"/>
          <w:i/>
          <w:sz w:val="22"/>
          <w:szCs w:val="22"/>
          <w:lang w:val="es-ES"/>
        </w:rPr>
        <w:t>Empirica</w:t>
      </w:r>
      <w:proofErr w:type="spellEnd"/>
      <w:r w:rsidRPr="00652F48">
        <w:rPr>
          <w:rFonts w:ascii="Times New Roman" w:hAnsi="Times New Roman" w:cs="Times New Roman"/>
          <w:sz w:val="22"/>
          <w:szCs w:val="22"/>
          <w:lang w:val="es-ES"/>
        </w:rPr>
        <w:t xml:space="preserve">, 42(2), 391–412. </w:t>
      </w:r>
      <w:hyperlink r:id="rId21" w:history="1">
        <w:r w:rsidRPr="00652F48">
          <w:rPr>
            <w:rFonts w:ascii="Times New Roman" w:hAnsi="Times New Roman" w:cs="Times New Roman"/>
            <w:sz w:val="22"/>
            <w:szCs w:val="22"/>
            <w:lang w:val="es-ES"/>
          </w:rPr>
          <w:t>https://doi.org/10.1007/s10663-015-9281-7</w:t>
        </w:r>
      </w:hyperlink>
    </w:p>
    <w:p w:rsidR="005E49E5" w:rsidRPr="00652F48" w:rsidRDefault="005E49E5" w:rsidP="00652F48">
      <w:pPr>
        <w:pStyle w:val="Textoindependiente"/>
        <w:spacing w:line="360" w:lineRule="auto"/>
        <w:jc w:val="both"/>
        <w:rPr>
          <w:rFonts w:ascii="Times New Roman" w:hAnsi="Times New Roman" w:cs="Times New Roman"/>
          <w:sz w:val="22"/>
          <w:szCs w:val="22"/>
          <w:lang w:val="es-ES"/>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lang w:val="es-ES"/>
        </w:rPr>
        <w:t xml:space="preserve">Kwon, Y., y Park, S. Y. (2023). </w:t>
      </w:r>
      <w:proofErr w:type="gramStart"/>
      <w:r w:rsidRPr="00652F48">
        <w:rPr>
          <w:rFonts w:ascii="Times New Roman" w:hAnsi="Times New Roman" w:cs="Times New Roman"/>
          <w:sz w:val="22"/>
          <w:szCs w:val="22"/>
        </w:rPr>
        <w:t>Modeling an early warning system for household debt risk in Korea: A simple deep learning approach.</w:t>
      </w:r>
      <w:proofErr w:type="gramEnd"/>
      <w:r w:rsidRPr="00652F48">
        <w:rPr>
          <w:rFonts w:ascii="Times New Roman" w:hAnsi="Times New Roman" w:cs="Times New Roman"/>
          <w:i/>
          <w:sz w:val="22"/>
          <w:szCs w:val="22"/>
        </w:rPr>
        <w:t xml:space="preserve"> </w:t>
      </w:r>
      <w:proofErr w:type="gramStart"/>
      <w:r w:rsidRPr="00652F48">
        <w:rPr>
          <w:rFonts w:ascii="Times New Roman" w:hAnsi="Times New Roman" w:cs="Times New Roman"/>
          <w:i/>
          <w:sz w:val="22"/>
          <w:szCs w:val="22"/>
        </w:rPr>
        <w:t>Journal of Asian Economics</w:t>
      </w:r>
      <w:r w:rsidRPr="00652F48">
        <w:rPr>
          <w:rFonts w:ascii="Times New Roman" w:hAnsi="Times New Roman" w:cs="Times New Roman"/>
          <w:sz w:val="22"/>
          <w:szCs w:val="22"/>
        </w:rPr>
        <w:t>, 84, 101574.</w:t>
      </w:r>
      <w:proofErr w:type="gramEnd"/>
      <w:r w:rsidRPr="00652F48">
        <w:rPr>
          <w:rFonts w:ascii="Times New Roman" w:hAnsi="Times New Roman" w:cs="Times New Roman"/>
          <w:sz w:val="22"/>
          <w:szCs w:val="22"/>
        </w:rPr>
        <w:t xml:space="preserve"> https://doi.org/10.1016/j.asieco.2022.101574</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602600" w:rsidRPr="00652F48" w:rsidRDefault="00602600" w:rsidP="00652F48">
      <w:pPr>
        <w:pStyle w:val="Textoindependiente"/>
        <w:spacing w:after="240" w:line="360" w:lineRule="auto"/>
        <w:jc w:val="both"/>
        <w:rPr>
          <w:rFonts w:ascii="Times New Roman" w:hAnsi="Times New Roman" w:cs="Times New Roman"/>
          <w:sz w:val="22"/>
          <w:szCs w:val="22"/>
        </w:rPr>
      </w:pPr>
      <w:proofErr w:type="gramStart"/>
      <w:r w:rsidRPr="00652F48">
        <w:rPr>
          <w:rFonts w:ascii="Times New Roman" w:hAnsi="Times New Roman" w:cs="Times New Roman"/>
          <w:sz w:val="22"/>
          <w:szCs w:val="22"/>
        </w:rPr>
        <w:t>Lancaster, T. (2000).</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The incidental parameter problem since 1948.</w:t>
      </w:r>
      <w:proofErr w:type="gramEnd"/>
      <w:r w:rsidRPr="00652F48">
        <w:rPr>
          <w:rFonts w:ascii="Times New Roman" w:hAnsi="Times New Roman" w:cs="Times New Roman"/>
          <w:sz w:val="22"/>
          <w:szCs w:val="22"/>
        </w:rPr>
        <w:t xml:space="preserve"> Journal of Econometrics, 95(2), 391–413. </w:t>
      </w:r>
      <w:proofErr w:type="gramStart"/>
      <w:r w:rsidRPr="00652F48">
        <w:rPr>
          <w:rFonts w:ascii="Times New Roman" w:hAnsi="Times New Roman" w:cs="Times New Roman"/>
          <w:sz w:val="22"/>
          <w:szCs w:val="22"/>
        </w:rPr>
        <w:t>doi:</w:t>
      </w:r>
      <w:proofErr w:type="gramEnd"/>
      <w:r w:rsidRPr="00652F48">
        <w:rPr>
          <w:rFonts w:ascii="Times New Roman" w:hAnsi="Times New Roman" w:cs="Times New Roman"/>
          <w:sz w:val="22"/>
          <w:szCs w:val="22"/>
        </w:rPr>
        <w:t>10.1016/s0304-4076(99)00044-5</w:t>
      </w: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Lapavitsas, C. (2013). Profiting Without Producing: How Finance </w:t>
      </w:r>
      <w:proofErr w:type="gramStart"/>
      <w:r w:rsidRPr="00652F48">
        <w:rPr>
          <w:rFonts w:ascii="Times New Roman" w:hAnsi="Times New Roman" w:cs="Times New Roman"/>
          <w:sz w:val="22"/>
          <w:szCs w:val="22"/>
        </w:rPr>
        <w:t>Exploits</w:t>
      </w:r>
      <w:proofErr w:type="gramEnd"/>
      <w:r w:rsidRPr="00652F48">
        <w:rPr>
          <w:rFonts w:ascii="Times New Roman" w:hAnsi="Times New Roman" w:cs="Times New Roman"/>
          <w:sz w:val="22"/>
          <w:szCs w:val="22"/>
        </w:rPr>
        <w:t xml:space="preserve"> us all. </w:t>
      </w:r>
      <w:proofErr w:type="gramStart"/>
      <w:r w:rsidRPr="00652F48">
        <w:rPr>
          <w:rFonts w:ascii="Times New Roman" w:hAnsi="Times New Roman" w:cs="Times New Roman"/>
          <w:sz w:val="22"/>
          <w:szCs w:val="22"/>
        </w:rPr>
        <w:t>Verso Books.</w:t>
      </w:r>
      <w:proofErr w:type="gramEnd"/>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Lombardi, M. J., </w:t>
      </w:r>
      <w:proofErr w:type="spellStart"/>
      <w:r w:rsidRPr="00652F48">
        <w:rPr>
          <w:rFonts w:ascii="Times New Roman" w:hAnsi="Times New Roman" w:cs="Times New Roman"/>
          <w:sz w:val="22"/>
          <w:szCs w:val="22"/>
        </w:rPr>
        <w:t>Mohanty</w:t>
      </w:r>
      <w:proofErr w:type="spellEnd"/>
      <w:r w:rsidRPr="00652F48">
        <w:rPr>
          <w:rFonts w:ascii="Times New Roman" w:hAnsi="Times New Roman" w:cs="Times New Roman"/>
          <w:sz w:val="22"/>
          <w:szCs w:val="22"/>
        </w:rPr>
        <w:t xml:space="preserve">, M. S. y Shim I. (2017). </w:t>
      </w:r>
      <w:proofErr w:type="gramStart"/>
      <w:r w:rsidRPr="00652F48">
        <w:rPr>
          <w:rFonts w:ascii="Times New Roman" w:hAnsi="Times New Roman" w:cs="Times New Roman"/>
          <w:sz w:val="22"/>
          <w:szCs w:val="22"/>
        </w:rPr>
        <w:t>The Real Effects of Household Debt in the Short and Long Run.</w:t>
      </w:r>
      <w:proofErr w:type="gramEnd"/>
      <w:r w:rsidRPr="00652F48">
        <w:rPr>
          <w:rFonts w:ascii="Times New Roman" w:hAnsi="Times New Roman" w:cs="Times New Roman"/>
          <w:sz w:val="22"/>
          <w:szCs w:val="22"/>
        </w:rPr>
        <w:t xml:space="preserve">  BIS Working Papers, no 607.</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proofErr w:type="spellStart"/>
      <w:proofErr w:type="gramStart"/>
      <w:r w:rsidRPr="00652F48">
        <w:rPr>
          <w:rFonts w:ascii="Times New Roman" w:hAnsi="Times New Roman" w:cs="Times New Roman"/>
          <w:sz w:val="22"/>
          <w:szCs w:val="22"/>
        </w:rPr>
        <w:t>Malinen</w:t>
      </w:r>
      <w:proofErr w:type="spellEnd"/>
      <w:r w:rsidRPr="00652F48">
        <w:rPr>
          <w:rFonts w:ascii="Times New Roman" w:hAnsi="Times New Roman" w:cs="Times New Roman"/>
          <w:sz w:val="22"/>
          <w:szCs w:val="22"/>
        </w:rPr>
        <w:t>, T. (2016).</w:t>
      </w:r>
      <w:proofErr w:type="gramEnd"/>
      <w:r w:rsidRPr="00652F48">
        <w:rPr>
          <w:rFonts w:ascii="Times New Roman" w:hAnsi="Times New Roman" w:cs="Times New Roman"/>
          <w:sz w:val="22"/>
          <w:szCs w:val="22"/>
        </w:rPr>
        <w:t xml:space="preserve"> Does Income Inequality Contribute to Credit Cycles? </w:t>
      </w:r>
      <w:r w:rsidRPr="00652F48">
        <w:rPr>
          <w:rFonts w:ascii="Times New Roman" w:hAnsi="Times New Roman" w:cs="Times New Roman"/>
          <w:i/>
          <w:sz w:val="22"/>
          <w:szCs w:val="22"/>
        </w:rPr>
        <w:t>The Journal of Economic Inequality</w:t>
      </w:r>
      <w:r w:rsidRPr="00652F48">
        <w:rPr>
          <w:rFonts w:ascii="Times New Roman" w:hAnsi="Times New Roman" w:cs="Times New Roman"/>
          <w:sz w:val="22"/>
          <w:szCs w:val="22"/>
        </w:rPr>
        <w:t xml:space="preserve">, 14(3), 309–325. </w:t>
      </w:r>
      <w:hyperlink r:id="rId22" w:history="1">
        <w:r w:rsidRPr="00652F48">
          <w:rPr>
            <w:rFonts w:ascii="Times New Roman" w:hAnsi="Times New Roman" w:cs="Times New Roman"/>
            <w:sz w:val="22"/>
            <w:szCs w:val="22"/>
          </w:rPr>
          <w:t>https://doi.org/10.1007/s10888-016-9334-6</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3A6E9B">
        <w:rPr>
          <w:rFonts w:ascii="Times New Roman" w:hAnsi="Times New Roman" w:cs="Times New Roman"/>
          <w:sz w:val="22"/>
          <w:szCs w:val="22"/>
          <w:lang w:val="es-ES"/>
        </w:rPr>
        <w:t xml:space="preserve">Mian, A., </w:t>
      </w:r>
      <w:proofErr w:type="spellStart"/>
      <w:r w:rsidRPr="003A6E9B">
        <w:rPr>
          <w:rFonts w:ascii="Times New Roman" w:hAnsi="Times New Roman" w:cs="Times New Roman"/>
          <w:sz w:val="22"/>
          <w:szCs w:val="22"/>
          <w:lang w:val="es-ES"/>
        </w:rPr>
        <w:t>Sufi</w:t>
      </w:r>
      <w:proofErr w:type="spellEnd"/>
      <w:r w:rsidRPr="003A6E9B">
        <w:rPr>
          <w:rFonts w:ascii="Times New Roman" w:hAnsi="Times New Roman" w:cs="Times New Roman"/>
          <w:sz w:val="22"/>
          <w:szCs w:val="22"/>
          <w:lang w:val="es-ES"/>
        </w:rPr>
        <w:t xml:space="preserve">, A., y Verner, E. (2017). </w:t>
      </w:r>
      <w:proofErr w:type="gramStart"/>
      <w:r w:rsidRPr="00652F48">
        <w:rPr>
          <w:rFonts w:ascii="Times New Roman" w:hAnsi="Times New Roman" w:cs="Times New Roman"/>
          <w:sz w:val="22"/>
          <w:szCs w:val="22"/>
        </w:rPr>
        <w:t>Household Debt and Business Cycles Worldwide.</w:t>
      </w:r>
      <w:proofErr w:type="gramEnd"/>
      <w:r w:rsidRPr="00652F48">
        <w:rPr>
          <w:rFonts w:ascii="Times New Roman" w:hAnsi="Times New Roman" w:cs="Times New Roman"/>
          <w:sz w:val="22"/>
          <w:szCs w:val="22"/>
        </w:rPr>
        <w:t xml:space="preserve"> </w:t>
      </w:r>
      <w:r w:rsidRPr="00652F48">
        <w:rPr>
          <w:rFonts w:ascii="Times New Roman" w:hAnsi="Times New Roman" w:cs="Times New Roman"/>
          <w:i/>
          <w:sz w:val="22"/>
          <w:szCs w:val="22"/>
        </w:rPr>
        <w:t>The Quarterly Journal of Economics</w:t>
      </w:r>
      <w:r w:rsidRPr="00652F48">
        <w:rPr>
          <w:rFonts w:ascii="Times New Roman" w:hAnsi="Times New Roman" w:cs="Times New Roman"/>
          <w:sz w:val="22"/>
          <w:szCs w:val="22"/>
        </w:rPr>
        <w:t xml:space="preserve">, 132(4), 1755-1817.  </w:t>
      </w:r>
      <w:hyperlink r:id="rId23" w:history="1">
        <w:r w:rsidRPr="00652F48">
          <w:rPr>
            <w:rFonts w:ascii="Times New Roman" w:hAnsi="Times New Roman" w:cs="Times New Roman"/>
            <w:sz w:val="22"/>
            <w:szCs w:val="22"/>
          </w:rPr>
          <w:t>https://doi.org/10.1093/qje/qjx017</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Mishkin, F. S., Gordon, R. J., y Hymans, S. H. (1977). What Depressed the Consumer? </w:t>
      </w:r>
      <w:proofErr w:type="gramStart"/>
      <w:r w:rsidRPr="00652F48">
        <w:rPr>
          <w:rFonts w:ascii="Times New Roman" w:hAnsi="Times New Roman" w:cs="Times New Roman"/>
          <w:sz w:val="22"/>
          <w:szCs w:val="22"/>
        </w:rPr>
        <w:t>The Household Balance Sheet and the 1973-75 Recession.</w:t>
      </w:r>
      <w:proofErr w:type="gramEnd"/>
      <w:r w:rsidRPr="00652F48">
        <w:rPr>
          <w:rFonts w:ascii="Times New Roman" w:hAnsi="Times New Roman" w:cs="Times New Roman"/>
          <w:sz w:val="22"/>
          <w:szCs w:val="22"/>
        </w:rPr>
        <w:t xml:space="preserve"> Brookings Papers on Economic Activity, 1977(1), 123-174. </w:t>
      </w:r>
      <w:hyperlink r:id="rId24" w:history="1">
        <w:r w:rsidRPr="00652F48">
          <w:rPr>
            <w:rFonts w:ascii="Times New Roman" w:hAnsi="Times New Roman" w:cs="Times New Roman"/>
            <w:sz w:val="22"/>
            <w:szCs w:val="22"/>
          </w:rPr>
          <w:t>https://doi.org/10.2307/2534258</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Moore, G. L., y Stockhammer, E. (2018). The Drivers of Household Indebtedness Reconsidered: An Empirical Evaluation of Competing Arguments on the Macroeconomic Determinants of Household Indebtedness in OECD Countries. </w:t>
      </w:r>
      <w:r w:rsidRPr="00652F48">
        <w:rPr>
          <w:rFonts w:ascii="Times New Roman" w:hAnsi="Times New Roman" w:cs="Times New Roman"/>
          <w:i/>
          <w:sz w:val="22"/>
          <w:szCs w:val="22"/>
        </w:rPr>
        <w:t>Journal of Post Keynesian Economics</w:t>
      </w:r>
      <w:r w:rsidRPr="00652F48">
        <w:rPr>
          <w:rFonts w:ascii="Times New Roman" w:hAnsi="Times New Roman" w:cs="Times New Roman"/>
          <w:sz w:val="22"/>
          <w:szCs w:val="22"/>
        </w:rPr>
        <w:t xml:space="preserve">, 41(4), 547–577. </w:t>
      </w:r>
      <w:hyperlink r:id="rId25" w:history="1">
        <w:r w:rsidRPr="00652F48">
          <w:rPr>
            <w:rFonts w:ascii="Times New Roman" w:hAnsi="Times New Roman" w:cs="Times New Roman"/>
            <w:sz w:val="22"/>
            <w:szCs w:val="22"/>
          </w:rPr>
          <w:t>https://doi.org/10.1080/01603477.2018.1486207</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Nyholm, J., y Voutilainen, V. (2021). </w:t>
      </w:r>
      <w:proofErr w:type="spellStart"/>
      <w:r w:rsidRPr="00652F48">
        <w:rPr>
          <w:rFonts w:ascii="Times New Roman" w:hAnsi="Times New Roman" w:cs="Times New Roman"/>
          <w:sz w:val="22"/>
          <w:szCs w:val="22"/>
        </w:rPr>
        <w:t>Quantiles</w:t>
      </w:r>
      <w:proofErr w:type="spellEnd"/>
      <w:r w:rsidRPr="00652F48">
        <w:rPr>
          <w:rFonts w:ascii="Times New Roman" w:hAnsi="Times New Roman" w:cs="Times New Roman"/>
          <w:sz w:val="22"/>
          <w:szCs w:val="22"/>
        </w:rPr>
        <w:t xml:space="preserve"> of Growth: Household Debt and Growth Vulnerabilities in Finland (No. 2/2021). </w:t>
      </w:r>
      <w:proofErr w:type="spellStart"/>
      <w:r w:rsidRPr="00652F48">
        <w:rPr>
          <w:rFonts w:ascii="Times New Roman" w:hAnsi="Times New Roman" w:cs="Times New Roman"/>
          <w:sz w:val="22"/>
          <w:szCs w:val="22"/>
        </w:rPr>
        <w:t>BoF</w:t>
      </w:r>
      <w:proofErr w:type="spellEnd"/>
      <w:r w:rsidRPr="00652F48">
        <w:rPr>
          <w:rFonts w:ascii="Times New Roman" w:hAnsi="Times New Roman" w:cs="Times New Roman"/>
          <w:sz w:val="22"/>
          <w:szCs w:val="22"/>
        </w:rPr>
        <w:t xml:space="preserve"> Economics Review.</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proofErr w:type="spellStart"/>
      <w:r w:rsidRPr="00652F48">
        <w:rPr>
          <w:rFonts w:ascii="Times New Roman" w:hAnsi="Times New Roman" w:cs="Times New Roman"/>
          <w:sz w:val="22"/>
          <w:szCs w:val="22"/>
        </w:rPr>
        <w:lastRenderedPageBreak/>
        <w:t>Okeke</w:t>
      </w:r>
      <w:proofErr w:type="spellEnd"/>
      <w:r w:rsidRPr="00652F48">
        <w:rPr>
          <w:rFonts w:ascii="Times New Roman" w:hAnsi="Times New Roman" w:cs="Times New Roman"/>
          <w:sz w:val="22"/>
          <w:szCs w:val="22"/>
        </w:rPr>
        <w:t xml:space="preserve">, J. U., y </w:t>
      </w:r>
      <w:proofErr w:type="spellStart"/>
      <w:r w:rsidRPr="00652F48">
        <w:rPr>
          <w:rFonts w:ascii="Times New Roman" w:hAnsi="Times New Roman" w:cs="Times New Roman"/>
          <w:sz w:val="22"/>
          <w:szCs w:val="22"/>
        </w:rPr>
        <w:t>Okeke</w:t>
      </w:r>
      <w:proofErr w:type="spellEnd"/>
      <w:r w:rsidRPr="00652F48">
        <w:rPr>
          <w:rFonts w:ascii="Times New Roman" w:hAnsi="Times New Roman" w:cs="Times New Roman"/>
          <w:sz w:val="22"/>
          <w:szCs w:val="22"/>
        </w:rPr>
        <w:t xml:space="preserve">, E. N. (2018). </w:t>
      </w:r>
      <w:proofErr w:type="gramStart"/>
      <w:r w:rsidRPr="00652F48">
        <w:rPr>
          <w:rFonts w:ascii="Times New Roman" w:hAnsi="Times New Roman" w:cs="Times New Roman"/>
          <w:sz w:val="22"/>
          <w:szCs w:val="22"/>
        </w:rPr>
        <w:t>Least Squares Dummy Variable in Determination of Dynamic Panel Model Parameters.</w:t>
      </w:r>
      <w:proofErr w:type="gramEnd"/>
      <w:r w:rsidRPr="00652F48">
        <w:rPr>
          <w:rFonts w:ascii="Times New Roman" w:hAnsi="Times New Roman" w:cs="Times New Roman"/>
          <w:sz w:val="22"/>
          <w:szCs w:val="22"/>
        </w:rPr>
        <w:t xml:space="preserve"> </w:t>
      </w:r>
      <w:r w:rsidRPr="00652F48">
        <w:rPr>
          <w:rFonts w:ascii="Times New Roman" w:hAnsi="Times New Roman" w:cs="Times New Roman"/>
          <w:i/>
          <w:sz w:val="22"/>
          <w:szCs w:val="22"/>
        </w:rPr>
        <w:t>European Journal of Engineering and Technology Research</w:t>
      </w:r>
      <w:r w:rsidRPr="00652F48">
        <w:rPr>
          <w:rFonts w:ascii="Times New Roman" w:hAnsi="Times New Roman" w:cs="Times New Roman"/>
          <w:sz w:val="22"/>
          <w:szCs w:val="22"/>
        </w:rPr>
        <w:t xml:space="preserve">, 1(6), 77–81. </w:t>
      </w:r>
      <w:hyperlink r:id="rId26" w:history="1">
        <w:r w:rsidRPr="00652F48">
          <w:rPr>
            <w:rFonts w:ascii="Times New Roman" w:hAnsi="Times New Roman" w:cs="Times New Roman"/>
            <w:sz w:val="22"/>
            <w:szCs w:val="22"/>
          </w:rPr>
          <w:t>https://doi.org/10.24018/ejeng.2016.1.6.197</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after="240" w:line="360" w:lineRule="auto"/>
        <w:jc w:val="both"/>
        <w:rPr>
          <w:sz w:val="22"/>
          <w:szCs w:val="22"/>
        </w:rPr>
      </w:pPr>
      <w:r w:rsidRPr="00652F48">
        <w:rPr>
          <w:rFonts w:ascii="Times New Roman" w:hAnsi="Times New Roman" w:cs="Times New Roman"/>
          <w:sz w:val="22"/>
          <w:szCs w:val="22"/>
          <w:lang w:val="es-ES"/>
        </w:rPr>
        <w:t xml:space="preserve">Park, J.,  y Lee, Y. (2019). </w:t>
      </w:r>
      <w:proofErr w:type="gramStart"/>
      <w:r w:rsidRPr="00652F48">
        <w:rPr>
          <w:rFonts w:ascii="Times New Roman" w:hAnsi="Times New Roman" w:cs="Times New Roman"/>
          <w:sz w:val="22"/>
          <w:szCs w:val="22"/>
        </w:rPr>
        <w:t>Corporate Income Taxes, Corporate Debt, and Household Debt.</w:t>
      </w:r>
      <w:proofErr w:type="gramEnd"/>
      <w:r w:rsidRPr="00652F48">
        <w:rPr>
          <w:rFonts w:ascii="Times New Roman" w:hAnsi="Times New Roman" w:cs="Times New Roman"/>
          <w:sz w:val="22"/>
          <w:szCs w:val="22"/>
        </w:rPr>
        <w:t xml:space="preserve"> </w:t>
      </w:r>
      <w:proofErr w:type="spellStart"/>
      <w:r w:rsidRPr="00652F48">
        <w:rPr>
          <w:rFonts w:ascii="Times New Roman" w:hAnsi="Times New Roman" w:cs="Times New Roman"/>
          <w:sz w:val="22"/>
          <w:szCs w:val="22"/>
        </w:rPr>
        <w:t>Int</w:t>
      </w:r>
      <w:proofErr w:type="spellEnd"/>
      <w:r w:rsidRPr="00652F48">
        <w:rPr>
          <w:rFonts w:ascii="Times New Roman" w:hAnsi="Times New Roman" w:cs="Times New Roman"/>
          <w:sz w:val="22"/>
          <w:szCs w:val="22"/>
        </w:rPr>
        <w:t xml:space="preserve"> Tax Public Finance 26, 506–535. </w:t>
      </w:r>
      <w:hyperlink r:id="rId27" w:history="1">
        <w:r w:rsidRPr="00652F48">
          <w:rPr>
            <w:rFonts w:ascii="Times New Roman" w:hAnsi="Times New Roman" w:cs="Times New Roman"/>
            <w:sz w:val="22"/>
            <w:szCs w:val="22"/>
          </w:rPr>
          <w:t>https://doi.org/10.1007/s10797-018-9513-4</w:t>
        </w:r>
      </w:hyperlink>
    </w:p>
    <w:p w:rsidR="002433C2" w:rsidRPr="00652F48" w:rsidRDefault="002433C2" w:rsidP="00652F48">
      <w:pPr>
        <w:pStyle w:val="Textoindependiente"/>
        <w:spacing w:line="360" w:lineRule="auto"/>
        <w:jc w:val="both"/>
        <w:rPr>
          <w:rFonts w:ascii="Times New Roman" w:hAnsi="Times New Roman" w:cs="Times New Roman"/>
          <w:sz w:val="22"/>
          <w:szCs w:val="22"/>
        </w:rPr>
      </w:pPr>
      <w:proofErr w:type="spellStart"/>
      <w:r w:rsidRPr="00652F48">
        <w:rPr>
          <w:rFonts w:ascii="Times New Roman" w:hAnsi="Times New Roman" w:cs="Times New Roman"/>
          <w:sz w:val="22"/>
          <w:szCs w:val="22"/>
        </w:rPr>
        <w:t>Pesaran</w:t>
      </w:r>
      <w:proofErr w:type="spellEnd"/>
      <w:r w:rsidRPr="00652F48">
        <w:rPr>
          <w:rFonts w:ascii="Times New Roman" w:hAnsi="Times New Roman" w:cs="Times New Roman"/>
          <w:sz w:val="22"/>
          <w:szCs w:val="22"/>
        </w:rPr>
        <w:t xml:space="preserve">, M. H. (2015). </w:t>
      </w:r>
      <w:proofErr w:type="gramStart"/>
      <w:r w:rsidRPr="00652F48">
        <w:rPr>
          <w:rFonts w:ascii="Times New Roman" w:hAnsi="Times New Roman" w:cs="Times New Roman"/>
          <w:sz w:val="22"/>
          <w:szCs w:val="22"/>
        </w:rPr>
        <w:t>Spatial Panel Econometrics.</w:t>
      </w:r>
      <w:proofErr w:type="gramEnd"/>
      <w:r w:rsidRPr="00652F48">
        <w:rPr>
          <w:rFonts w:ascii="Times New Roman" w:hAnsi="Times New Roman" w:cs="Times New Roman"/>
          <w:sz w:val="22"/>
          <w:szCs w:val="22"/>
        </w:rPr>
        <w:t xml:space="preserve"> Time Series and Panel Data Econometrics, Oxford University Press</w:t>
      </w:r>
      <w:r w:rsidRPr="00652F48">
        <w:rPr>
          <w:sz w:val="22"/>
          <w:szCs w:val="22"/>
          <w:shd w:val="clear" w:color="auto" w:fill="FFFFFF"/>
        </w:rPr>
        <w:t>.</w:t>
      </w:r>
      <w:proofErr w:type="gramStart"/>
      <w:r w:rsidRPr="00652F48">
        <w:rPr>
          <w:rFonts w:ascii="Times New Roman" w:hAnsi="Times New Roman" w:cs="Times New Roman"/>
          <w:sz w:val="22"/>
          <w:szCs w:val="22"/>
        </w:rPr>
        <w:t>,797</w:t>
      </w:r>
      <w:proofErr w:type="gramEnd"/>
      <w:r w:rsidRPr="00652F48">
        <w:rPr>
          <w:rFonts w:ascii="Times New Roman" w:hAnsi="Times New Roman" w:cs="Times New Roman"/>
          <w:sz w:val="22"/>
          <w:szCs w:val="22"/>
        </w:rPr>
        <w:t>–816. https://doi.org/10.1093/acprof:oso/9780198736912.003.0030</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proofErr w:type="gramStart"/>
      <w:r w:rsidRPr="00652F48">
        <w:rPr>
          <w:rFonts w:ascii="Times New Roman" w:hAnsi="Times New Roman" w:cs="Times New Roman"/>
          <w:sz w:val="22"/>
          <w:szCs w:val="22"/>
        </w:rPr>
        <w:t>Reinhart, C. M. y Rogoff, K. S (2010).</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Growth in Time of Debt.</w:t>
      </w:r>
      <w:proofErr w:type="gramEnd"/>
      <w:r w:rsidRPr="00652F48">
        <w:rPr>
          <w:rFonts w:ascii="Times New Roman" w:hAnsi="Times New Roman" w:cs="Times New Roman"/>
          <w:sz w:val="22"/>
          <w:szCs w:val="22"/>
        </w:rPr>
        <w:t xml:space="preserve"> </w:t>
      </w:r>
      <w:r w:rsidRPr="00652F48">
        <w:rPr>
          <w:rFonts w:ascii="Times New Roman" w:hAnsi="Times New Roman" w:cs="Times New Roman"/>
          <w:i/>
          <w:sz w:val="22"/>
          <w:szCs w:val="22"/>
        </w:rPr>
        <w:t>American Economic Review</w:t>
      </w:r>
      <w:r w:rsidRPr="00652F48">
        <w:rPr>
          <w:rFonts w:ascii="Times New Roman" w:hAnsi="Times New Roman" w:cs="Times New Roman"/>
          <w:sz w:val="22"/>
          <w:szCs w:val="22"/>
        </w:rPr>
        <w:t xml:space="preserve">: Papers &amp; Proceedings. 100. pp. 573–578. </w:t>
      </w:r>
      <w:proofErr w:type="spellStart"/>
      <w:r w:rsidRPr="00652F48">
        <w:rPr>
          <w:rFonts w:ascii="Times New Roman" w:hAnsi="Times New Roman" w:cs="Times New Roman"/>
          <w:sz w:val="22"/>
          <w:szCs w:val="22"/>
        </w:rPr>
        <w:t>doi</w:t>
      </w:r>
      <w:proofErr w:type="spellEnd"/>
      <w:r w:rsidRPr="00652F48">
        <w:rPr>
          <w:rFonts w:ascii="Times New Roman" w:hAnsi="Times New Roman" w:cs="Times New Roman"/>
          <w:sz w:val="22"/>
          <w:szCs w:val="22"/>
        </w:rPr>
        <w:t>=10.1257/aer.100.2.573</w:t>
      </w:r>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3A6E9B">
        <w:rPr>
          <w:rFonts w:ascii="Times New Roman" w:hAnsi="Times New Roman" w:cs="Times New Roman"/>
          <w:sz w:val="22"/>
          <w:szCs w:val="22"/>
          <w:lang w:val="es-ES"/>
        </w:rPr>
        <w:t xml:space="preserve">Rüth, S. K., y Simon, C. (2022). </w:t>
      </w:r>
      <w:r w:rsidRPr="00652F48">
        <w:rPr>
          <w:rFonts w:ascii="Times New Roman" w:hAnsi="Times New Roman" w:cs="Times New Roman"/>
          <w:sz w:val="22"/>
          <w:szCs w:val="22"/>
        </w:rPr>
        <w:t xml:space="preserve">How do Income and the Debt Position of Households Propagate Fiscal Stimulus into Consumption? </w:t>
      </w:r>
      <w:proofErr w:type="gramStart"/>
      <w:r w:rsidRPr="00652F48">
        <w:rPr>
          <w:rFonts w:ascii="Times New Roman" w:hAnsi="Times New Roman" w:cs="Times New Roman"/>
          <w:i/>
          <w:sz w:val="22"/>
          <w:szCs w:val="22"/>
        </w:rPr>
        <w:t>Journal of Economic Dynamics and Control</w:t>
      </w:r>
      <w:r w:rsidRPr="00652F48">
        <w:rPr>
          <w:rFonts w:ascii="Times New Roman" w:hAnsi="Times New Roman" w:cs="Times New Roman"/>
          <w:sz w:val="22"/>
          <w:szCs w:val="22"/>
        </w:rPr>
        <w:t>, 143, 104456.</w:t>
      </w:r>
      <w:proofErr w:type="gramEnd"/>
      <w:r w:rsidRPr="00652F48">
        <w:rPr>
          <w:rFonts w:ascii="Times New Roman" w:hAnsi="Times New Roman" w:cs="Times New Roman"/>
          <w:sz w:val="22"/>
          <w:szCs w:val="22"/>
        </w:rPr>
        <w:t xml:space="preserve"> </w:t>
      </w:r>
      <w:hyperlink r:id="rId28" w:history="1">
        <w:r w:rsidRPr="00652F48">
          <w:rPr>
            <w:rFonts w:ascii="Times New Roman" w:hAnsi="Times New Roman" w:cs="Times New Roman"/>
            <w:sz w:val="22"/>
            <w:szCs w:val="22"/>
          </w:rPr>
          <w:t>https://doi.org/10.1016/j.jedc.2022.104456</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Samad, K., </w:t>
      </w:r>
      <w:proofErr w:type="spellStart"/>
      <w:r w:rsidRPr="00652F48">
        <w:rPr>
          <w:rFonts w:ascii="Times New Roman" w:hAnsi="Times New Roman" w:cs="Times New Roman"/>
          <w:sz w:val="22"/>
          <w:szCs w:val="22"/>
        </w:rPr>
        <w:t>Mohd</w:t>
      </w:r>
      <w:proofErr w:type="spellEnd"/>
      <w:r w:rsidRPr="00652F48">
        <w:rPr>
          <w:rFonts w:ascii="Times New Roman" w:hAnsi="Times New Roman" w:cs="Times New Roman"/>
          <w:sz w:val="22"/>
          <w:szCs w:val="22"/>
        </w:rPr>
        <w:t xml:space="preserve"> </w:t>
      </w:r>
      <w:proofErr w:type="spellStart"/>
      <w:r w:rsidRPr="00652F48">
        <w:rPr>
          <w:rFonts w:ascii="Times New Roman" w:hAnsi="Times New Roman" w:cs="Times New Roman"/>
          <w:sz w:val="22"/>
          <w:szCs w:val="22"/>
        </w:rPr>
        <w:t>Daud</w:t>
      </w:r>
      <w:proofErr w:type="spellEnd"/>
      <w:r w:rsidRPr="00652F48">
        <w:rPr>
          <w:rFonts w:ascii="Times New Roman" w:hAnsi="Times New Roman" w:cs="Times New Roman"/>
          <w:sz w:val="22"/>
          <w:szCs w:val="22"/>
        </w:rPr>
        <w:t xml:space="preserve">, S. N., y </w:t>
      </w:r>
      <w:proofErr w:type="spellStart"/>
      <w:r w:rsidRPr="00652F48">
        <w:rPr>
          <w:rFonts w:ascii="Times New Roman" w:hAnsi="Times New Roman" w:cs="Times New Roman"/>
          <w:sz w:val="22"/>
          <w:szCs w:val="22"/>
        </w:rPr>
        <w:t>Mohd</w:t>
      </w:r>
      <w:proofErr w:type="spellEnd"/>
      <w:r w:rsidRPr="00652F48">
        <w:rPr>
          <w:rFonts w:ascii="Times New Roman" w:hAnsi="Times New Roman" w:cs="Times New Roman"/>
          <w:sz w:val="22"/>
          <w:szCs w:val="22"/>
        </w:rPr>
        <w:t xml:space="preserve"> Dali, N. R. S. (2020). Determinants of Household Debt in Emerging Economies: A macro panel analysis. </w:t>
      </w:r>
      <w:proofErr w:type="gramStart"/>
      <w:r w:rsidRPr="00652F48">
        <w:rPr>
          <w:rFonts w:ascii="Times New Roman" w:hAnsi="Times New Roman" w:cs="Times New Roman"/>
          <w:i/>
          <w:sz w:val="22"/>
          <w:szCs w:val="22"/>
        </w:rPr>
        <w:t>Cogent Business &amp; Management</w:t>
      </w:r>
      <w:r w:rsidRPr="00652F48">
        <w:rPr>
          <w:rFonts w:ascii="Times New Roman" w:hAnsi="Times New Roman" w:cs="Times New Roman"/>
          <w:sz w:val="22"/>
          <w:szCs w:val="22"/>
        </w:rPr>
        <w:t>, 7(1), 1831765.</w:t>
      </w:r>
      <w:proofErr w:type="gramEnd"/>
      <w:r w:rsidRPr="00652F48">
        <w:rPr>
          <w:rFonts w:ascii="Times New Roman" w:hAnsi="Times New Roman" w:cs="Times New Roman"/>
          <w:sz w:val="22"/>
          <w:szCs w:val="22"/>
        </w:rPr>
        <w:t xml:space="preserve"> </w:t>
      </w:r>
      <w:hyperlink r:id="rId29" w:history="1">
        <w:r w:rsidRPr="00652F48">
          <w:rPr>
            <w:rFonts w:ascii="Times New Roman" w:hAnsi="Times New Roman" w:cs="Times New Roman"/>
            <w:sz w:val="22"/>
            <w:szCs w:val="22"/>
          </w:rPr>
          <w:t>https://doi.org/10.1080/23311975.2020.1831765</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Stockhammer, E., y </w:t>
      </w:r>
      <w:proofErr w:type="spellStart"/>
      <w:r w:rsidRPr="00652F48">
        <w:rPr>
          <w:rFonts w:ascii="Times New Roman" w:hAnsi="Times New Roman" w:cs="Times New Roman"/>
          <w:sz w:val="22"/>
          <w:szCs w:val="22"/>
        </w:rPr>
        <w:t>Wildauer</w:t>
      </w:r>
      <w:proofErr w:type="spellEnd"/>
      <w:r w:rsidRPr="00652F48">
        <w:rPr>
          <w:rFonts w:ascii="Times New Roman" w:hAnsi="Times New Roman" w:cs="Times New Roman"/>
          <w:sz w:val="22"/>
          <w:szCs w:val="22"/>
        </w:rPr>
        <w:t xml:space="preserve">, R. (2016). </w:t>
      </w:r>
      <w:proofErr w:type="gramStart"/>
      <w:r w:rsidRPr="00652F48">
        <w:rPr>
          <w:rFonts w:ascii="Times New Roman" w:hAnsi="Times New Roman" w:cs="Times New Roman"/>
          <w:sz w:val="22"/>
          <w:szCs w:val="22"/>
        </w:rPr>
        <w:t>Debt-driven growth?</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Wealth, Distribution and Demand in OECD Countries.</w:t>
      </w:r>
      <w:proofErr w:type="gramEnd"/>
      <w:r w:rsidRPr="00652F48">
        <w:rPr>
          <w:rFonts w:ascii="Times New Roman" w:hAnsi="Times New Roman" w:cs="Times New Roman"/>
          <w:sz w:val="22"/>
          <w:szCs w:val="22"/>
        </w:rPr>
        <w:t xml:space="preserve"> Cambridge Journal of Economics, 40(6), 1609–1634. NBER Working Paper No. 14631. </w:t>
      </w:r>
      <w:hyperlink r:id="rId30" w:history="1">
        <w:r w:rsidRPr="00652F48">
          <w:rPr>
            <w:rFonts w:ascii="Times New Roman" w:hAnsi="Times New Roman" w:cs="Times New Roman"/>
            <w:sz w:val="22"/>
            <w:szCs w:val="22"/>
          </w:rPr>
          <w:t>https://doi.org/10.1093/cje/bev070</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Svirydzenka, K. (2016). </w:t>
      </w:r>
      <w:proofErr w:type="gramStart"/>
      <w:r w:rsidRPr="00652F48">
        <w:rPr>
          <w:rFonts w:ascii="Times New Roman" w:hAnsi="Times New Roman" w:cs="Times New Roman"/>
          <w:sz w:val="22"/>
          <w:szCs w:val="22"/>
        </w:rPr>
        <w:t>Introducing a New broad-based index of Financial Development.</w:t>
      </w:r>
      <w:proofErr w:type="gramEnd"/>
      <w:r w:rsidRPr="00652F48">
        <w:rPr>
          <w:rFonts w:ascii="Times New Roman" w:hAnsi="Times New Roman" w:cs="Times New Roman"/>
          <w:sz w:val="22"/>
          <w:szCs w:val="22"/>
        </w:rPr>
        <w:t xml:space="preserve"> </w:t>
      </w:r>
      <w:proofErr w:type="gramStart"/>
      <w:r w:rsidRPr="00652F48">
        <w:rPr>
          <w:rFonts w:ascii="Times New Roman" w:hAnsi="Times New Roman" w:cs="Times New Roman"/>
          <w:sz w:val="22"/>
          <w:szCs w:val="22"/>
        </w:rPr>
        <w:t>International Monetary Fund.</w:t>
      </w:r>
      <w:proofErr w:type="gramEnd"/>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652F48">
        <w:rPr>
          <w:rFonts w:ascii="Times New Roman" w:hAnsi="Times New Roman" w:cs="Times New Roman"/>
          <w:sz w:val="22"/>
          <w:szCs w:val="22"/>
        </w:rPr>
        <w:t xml:space="preserve">Taylor, J. (2009). The Financial Crisis and the Policy Responses: An Empirical Analysis of What Went Wrong. </w:t>
      </w:r>
      <w:hyperlink r:id="rId31" w:history="1">
        <w:r w:rsidRPr="00652F48">
          <w:rPr>
            <w:rFonts w:ascii="Times New Roman" w:hAnsi="Times New Roman" w:cs="Times New Roman"/>
            <w:sz w:val="22"/>
            <w:szCs w:val="22"/>
          </w:rPr>
          <w:t>https://doi.org/10.3386/w14631</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r w:rsidRPr="003A6E9B">
        <w:rPr>
          <w:rFonts w:ascii="Times New Roman" w:hAnsi="Times New Roman" w:cs="Times New Roman"/>
          <w:sz w:val="22"/>
          <w:szCs w:val="22"/>
          <w:lang w:val="es-ES"/>
        </w:rPr>
        <w:t xml:space="preserve">Verner, E., y Gyöngyösi, G. (2020). </w:t>
      </w:r>
      <w:r w:rsidRPr="00652F48">
        <w:rPr>
          <w:rFonts w:ascii="Times New Roman" w:hAnsi="Times New Roman" w:cs="Times New Roman"/>
          <w:sz w:val="22"/>
          <w:szCs w:val="22"/>
        </w:rPr>
        <w:t xml:space="preserve">Household Debt Revaluation and the Real Economy: Evidence from a Foreign Currency Debt Crisis. </w:t>
      </w:r>
      <w:proofErr w:type="gramStart"/>
      <w:r w:rsidRPr="00652F48">
        <w:rPr>
          <w:rFonts w:ascii="Times New Roman" w:hAnsi="Times New Roman" w:cs="Times New Roman"/>
          <w:sz w:val="22"/>
          <w:szCs w:val="22"/>
        </w:rPr>
        <w:t>American Economic Review, 110(9), 2667–2702.</w:t>
      </w:r>
      <w:proofErr w:type="gramEnd"/>
      <w:r w:rsidRPr="00652F48">
        <w:rPr>
          <w:rFonts w:ascii="Times New Roman" w:hAnsi="Times New Roman" w:cs="Times New Roman"/>
          <w:sz w:val="22"/>
          <w:szCs w:val="22"/>
        </w:rPr>
        <w:t xml:space="preserve"> </w:t>
      </w:r>
      <w:hyperlink r:id="rId32" w:history="1">
        <w:r w:rsidRPr="00652F48">
          <w:rPr>
            <w:rFonts w:ascii="Times New Roman" w:hAnsi="Times New Roman" w:cs="Times New Roman"/>
            <w:sz w:val="22"/>
            <w:szCs w:val="22"/>
          </w:rPr>
          <w:t>https://doi.org/10.1257/aer.20181585</w:t>
        </w:r>
      </w:hyperlink>
    </w:p>
    <w:p w:rsidR="005E49E5" w:rsidRPr="00652F48" w:rsidRDefault="005E49E5" w:rsidP="00652F48">
      <w:pPr>
        <w:pStyle w:val="Textoindependiente"/>
        <w:spacing w:line="360" w:lineRule="auto"/>
        <w:jc w:val="both"/>
        <w:rPr>
          <w:rFonts w:ascii="Times New Roman" w:hAnsi="Times New Roman" w:cs="Times New Roman"/>
          <w:sz w:val="22"/>
          <w:szCs w:val="22"/>
        </w:rPr>
      </w:pPr>
    </w:p>
    <w:p w:rsidR="008A413E" w:rsidRPr="00652F48" w:rsidRDefault="008A413E" w:rsidP="00652F48">
      <w:pPr>
        <w:pStyle w:val="Textoindependiente"/>
        <w:spacing w:line="360" w:lineRule="auto"/>
        <w:jc w:val="both"/>
        <w:rPr>
          <w:rFonts w:ascii="Times New Roman" w:hAnsi="Times New Roman" w:cs="Times New Roman"/>
          <w:sz w:val="22"/>
          <w:szCs w:val="22"/>
        </w:rPr>
      </w:pPr>
    </w:p>
    <w:p w:rsidR="005E49E5" w:rsidRPr="00652F48" w:rsidRDefault="005E49E5" w:rsidP="00652F48">
      <w:pPr>
        <w:pStyle w:val="Textoindependiente"/>
        <w:spacing w:line="360" w:lineRule="auto"/>
        <w:jc w:val="both"/>
        <w:rPr>
          <w:rFonts w:ascii="Times New Roman" w:hAnsi="Times New Roman" w:cs="Times New Roman"/>
          <w:sz w:val="22"/>
          <w:szCs w:val="22"/>
        </w:rPr>
      </w:pPr>
    </w:p>
    <w:sectPr w:rsidR="005E49E5" w:rsidRPr="00652F48" w:rsidSect="00FD544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489" w:rsidRDefault="00025489" w:rsidP="00652F48">
      <w:r>
        <w:separator/>
      </w:r>
    </w:p>
  </w:endnote>
  <w:endnote w:type="continuationSeparator" w:id="0">
    <w:p w:rsidR="00025489" w:rsidRDefault="00025489" w:rsidP="00652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489" w:rsidRDefault="00025489" w:rsidP="00652F48">
      <w:r>
        <w:separator/>
      </w:r>
    </w:p>
  </w:footnote>
  <w:footnote w:type="continuationSeparator" w:id="0">
    <w:p w:rsidR="00025489" w:rsidRDefault="00025489" w:rsidP="00652F48">
      <w:r>
        <w:continuationSeparator/>
      </w:r>
    </w:p>
  </w:footnote>
  <w:footnote w:id="1">
    <w:p w:rsidR="004B6C95" w:rsidRPr="00652F48" w:rsidRDefault="004B6C95">
      <w:pPr>
        <w:pStyle w:val="Textonotapie"/>
        <w:rPr>
          <w:lang w:val="es-ES"/>
        </w:rPr>
      </w:pPr>
      <w:r>
        <w:rPr>
          <w:rStyle w:val="Refdenotaalpie"/>
        </w:rPr>
        <w:footnoteRef/>
      </w:r>
      <w:r w:rsidRPr="00652F48">
        <w:rPr>
          <w:lang w:val="es-ES"/>
        </w:rPr>
        <w:t xml:space="preserve"> </w:t>
      </w:r>
      <w:r w:rsidRPr="00652F48">
        <w:rPr>
          <w:rFonts w:ascii="Times New Roman" w:hAnsi="Times New Roman" w:cs="Times New Roman"/>
          <w:lang w:val="es-ES"/>
        </w:rPr>
        <w:t xml:space="preserve">Investigador del </w:t>
      </w:r>
      <w:r>
        <w:rPr>
          <w:rFonts w:ascii="Times New Roman" w:hAnsi="Times New Roman" w:cs="Times New Roman"/>
          <w:lang w:val="es-ES"/>
        </w:rPr>
        <w:t>CONICET. Docente de la Universidad Nacional de Villa María y Universidad Nacional de Río Cuarto.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23006"/>
    <w:multiLevelType w:val="multilevel"/>
    <w:tmpl w:val="56F6A6C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2ABB1309"/>
    <w:multiLevelType w:val="multilevel"/>
    <w:tmpl w:val="56F6A6C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59333CEA"/>
    <w:multiLevelType w:val="multilevel"/>
    <w:tmpl w:val="56F6A6C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79E75F5A"/>
    <w:multiLevelType w:val="hybridMultilevel"/>
    <w:tmpl w:val="970AD9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E49E5"/>
    <w:rsid w:val="00005A76"/>
    <w:rsid w:val="000208D5"/>
    <w:rsid w:val="00025489"/>
    <w:rsid w:val="0003404E"/>
    <w:rsid w:val="00035F26"/>
    <w:rsid w:val="00057D7A"/>
    <w:rsid w:val="00097A73"/>
    <w:rsid w:val="000A2D75"/>
    <w:rsid w:val="000A5778"/>
    <w:rsid w:val="000E7136"/>
    <w:rsid w:val="001069EB"/>
    <w:rsid w:val="00120613"/>
    <w:rsid w:val="0012557D"/>
    <w:rsid w:val="001339AE"/>
    <w:rsid w:val="00137FF1"/>
    <w:rsid w:val="00167F1C"/>
    <w:rsid w:val="00172CAB"/>
    <w:rsid w:val="0019724A"/>
    <w:rsid w:val="001E3566"/>
    <w:rsid w:val="001F2F2E"/>
    <w:rsid w:val="0024128F"/>
    <w:rsid w:val="00242632"/>
    <w:rsid w:val="002433C2"/>
    <w:rsid w:val="002504B2"/>
    <w:rsid w:val="00274409"/>
    <w:rsid w:val="00276BDC"/>
    <w:rsid w:val="002D720C"/>
    <w:rsid w:val="002E5147"/>
    <w:rsid w:val="003031E4"/>
    <w:rsid w:val="00303485"/>
    <w:rsid w:val="0032377B"/>
    <w:rsid w:val="00351A13"/>
    <w:rsid w:val="003545B8"/>
    <w:rsid w:val="00373ABC"/>
    <w:rsid w:val="00393DA4"/>
    <w:rsid w:val="003A6E9B"/>
    <w:rsid w:val="003D714A"/>
    <w:rsid w:val="003F6EEC"/>
    <w:rsid w:val="0040710C"/>
    <w:rsid w:val="004166FA"/>
    <w:rsid w:val="00420B71"/>
    <w:rsid w:val="00423304"/>
    <w:rsid w:val="00440EF5"/>
    <w:rsid w:val="00466894"/>
    <w:rsid w:val="00466ED5"/>
    <w:rsid w:val="00471E57"/>
    <w:rsid w:val="00472BF1"/>
    <w:rsid w:val="004A0CAF"/>
    <w:rsid w:val="004B50C8"/>
    <w:rsid w:val="004B59E5"/>
    <w:rsid w:val="004B6C95"/>
    <w:rsid w:val="004F0F96"/>
    <w:rsid w:val="004F4211"/>
    <w:rsid w:val="00504840"/>
    <w:rsid w:val="00507800"/>
    <w:rsid w:val="005156FE"/>
    <w:rsid w:val="00530581"/>
    <w:rsid w:val="00534C7D"/>
    <w:rsid w:val="00587F8F"/>
    <w:rsid w:val="005B01F0"/>
    <w:rsid w:val="005E49E5"/>
    <w:rsid w:val="005F0F90"/>
    <w:rsid w:val="005F51E8"/>
    <w:rsid w:val="00602600"/>
    <w:rsid w:val="00603AC2"/>
    <w:rsid w:val="00616967"/>
    <w:rsid w:val="00645578"/>
    <w:rsid w:val="00652F48"/>
    <w:rsid w:val="00663C51"/>
    <w:rsid w:val="006C4760"/>
    <w:rsid w:val="006E5A14"/>
    <w:rsid w:val="006F0897"/>
    <w:rsid w:val="006F1288"/>
    <w:rsid w:val="006F2359"/>
    <w:rsid w:val="007007FF"/>
    <w:rsid w:val="007159F6"/>
    <w:rsid w:val="00733135"/>
    <w:rsid w:val="00746714"/>
    <w:rsid w:val="00751DB4"/>
    <w:rsid w:val="0077063F"/>
    <w:rsid w:val="007769FE"/>
    <w:rsid w:val="00782A6E"/>
    <w:rsid w:val="00785C1B"/>
    <w:rsid w:val="007C5CDF"/>
    <w:rsid w:val="007D3413"/>
    <w:rsid w:val="007D5706"/>
    <w:rsid w:val="007E13BC"/>
    <w:rsid w:val="00822A9D"/>
    <w:rsid w:val="00831247"/>
    <w:rsid w:val="008617A0"/>
    <w:rsid w:val="00863368"/>
    <w:rsid w:val="00863843"/>
    <w:rsid w:val="00882641"/>
    <w:rsid w:val="00897FD9"/>
    <w:rsid w:val="008A413E"/>
    <w:rsid w:val="008A4C53"/>
    <w:rsid w:val="008C2AD0"/>
    <w:rsid w:val="008C5546"/>
    <w:rsid w:val="008D0707"/>
    <w:rsid w:val="008F12AA"/>
    <w:rsid w:val="008F5469"/>
    <w:rsid w:val="00904756"/>
    <w:rsid w:val="009131B3"/>
    <w:rsid w:val="00917D4F"/>
    <w:rsid w:val="00955567"/>
    <w:rsid w:val="00977DB6"/>
    <w:rsid w:val="00A11F96"/>
    <w:rsid w:val="00A17F01"/>
    <w:rsid w:val="00A5311F"/>
    <w:rsid w:val="00AC168E"/>
    <w:rsid w:val="00B1616E"/>
    <w:rsid w:val="00B2796A"/>
    <w:rsid w:val="00B43B48"/>
    <w:rsid w:val="00B84142"/>
    <w:rsid w:val="00BA4B78"/>
    <w:rsid w:val="00BF2994"/>
    <w:rsid w:val="00C1476C"/>
    <w:rsid w:val="00C54362"/>
    <w:rsid w:val="00C7280E"/>
    <w:rsid w:val="00C74709"/>
    <w:rsid w:val="00C9003C"/>
    <w:rsid w:val="00CC1F85"/>
    <w:rsid w:val="00CE4B83"/>
    <w:rsid w:val="00CF736A"/>
    <w:rsid w:val="00D02ADA"/>
    <w:rsid w:val="00D12E1F"/>
    <w:rsid w:val="00D16468"/>
    <w:rsid w:val="00D30EE1"/>
    <w:rsid w:val="00D713E3"/>
    <w:rsid w:val="00DD1B9E"/>
    <w:rsid w:val="00DD32BB"/>
    <w:rsid w:val="00DF1006"/>
    <w:rsid w:val="00DF1CE9"/>
    <w:rsid w:val="00E36D49"/>
    <w:rsid w:val="00E6026A"/>
    <w:rsid w:val="00E8545D"/>
    <w:rsid w:val="00E90CB9"/>
    <w:rsid w:val="00ED0C65"/>
    <w:rsid w:val="00EE303F"/>
    <w:rsid w:val="00F742D1"/>
    <w:rsid w:val="00F860A6"/>
    <w:rsid w:val="00F9315F"/>
    <w:rsid w:val="00FB14E2"/>
    <w:rsid w:val="00FB47D7"/>
    <w:rsid w:val="00FD54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49E5"/>
    <w:pPr>
      <w:widowControl w:val="0"/>
      <w:spacing w:after="0" w:line="240" w:lineRule="auto"/>
    </w:pPr>
    <w:rPr>
      <w:rFonts w:ascii="Arial" w:eastAsia="Arial" w:hAnsi="Arial" w:cs="Arial"/>
      <w:lang w:val="en-US"/>
    </w:rPr>
  </w:style>
  <w:style w:type="paragraph" w:styleId="Ttulo1">
    <w:name w:val="heading 1"/>
    <w:basedOn w:val="Normal"/>
    <w:link w:val="Ttulo1Car"/>
    <w:uiPriority w:val="1"/>
    <w:qFormat/>
    <w:rsid w:val="005E49E5"/>
    <w:pPr>
      <w:spacing w:line="232" w:lineRule="exact"/>
      <w:ind w:right="115"/>
      <w:jc w:val="right"/>
      <w:outlineLvl w:val="0"/>
    </w:pPr>
    <w:rPr>
      <w:rFonts w:ascii="Book Antiqua" w:eastAsia="Book Antiqua" w:hAnsi="Book Antiqua" w:cs="Book Antiqua"/>
      <w:i/>
      <w:sz w:val="20"/>
      <w:szCs w:val="20"/>
    </w:rPr>
  </w:style>
  <w:style w:type="paragraph" w:styleId="Ttulo2">
    <w:name w:val="heading 2"/>
    <w:basedOn w:val="Normal"/>
    <w:link w:val="Ttulo2Car"/>
    <w:uiPriority w:val="1"/>
    <w:qFormat/>
    <w:rsid w:val="005E49E5"/>
    <w:pPr>
      <w:spacing w:before="19"/>
      <w:ind w:left="137" w:right="390"/>
      <w:outlineLvl w:val="1"/>
    </w:pPr>
    <w:rPr>
      <w:sz w:val="18"/>
      <w:szCs w:val="18"/>
    </w:rPr>
  </w:style>
  <w:style w:type="paragraph" w:styleId="Ttulo3">
    <w:name w:val="heading 3"/>
    <w:basedOn w:val="Normal"/>
    <w:link w:val="Ttulo3Car"/>
    <w:uiPriority w:val="1"/>
    <w:qFormat/>
    <w:rsid w:val="005E49E5"/>
    <w:pPr>
      <w:spacing w:before="19"/>
      <w:ind w:left="137"/>
      <w:outlineLvl w:val="2"/>
    </w:pPr>
    <w:rPr>
      <w:i/>
      <w:sz w:val="18"/>
      <w:szCs w:val="18"/>
    </w:rPr>
  </w:style>
  <w:style w:type="paragraph" w:styleId="Ttulo4">
    <w:name w:val="heading 4"/>
    <w:basedOn w:val="Normal"/>
    <w:next w:val="Normal"/>
    <w:link w:val="Ttulo4Car"/>
    <w:uiPriority w:val="9"/>
    <w:unhideWhenUsed/>
    <w:qFormat/>
    <w:rsid w:val="00005A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E49E5"/>
    <w:rPr>
      <w:rFonts w:ascii="Book Antiqua" w:eastAsia="Book Antiqua" w:hAnsi="Book Antiqua" w:cs="Book Antiqua"/>
      <w:i/>
      <w:sz w:val="20"/>
      <w:szCs w:val="20"/>
      <w:lang w:val="en-US"/>
    </w:rPr>
  </w:style>
  <w:style w:type="character" w:customStyle="1" w:styleId="Ttulo2Car">
    <w:name w:val="Título 2 Car"/>
    <w:basedOn w:val="Fuentedeprrafopredeter"/>
    <w:link w:val="Ttulo2"/>
    <w:uiPriority w:val="1"/>
    <w:rsid w:val="005E49E5"/>
    <w:rPr>
      <w:rFonts w:ascii="Arial" w:eastAsia="Arial" w:hAnsi="Arial" w:cs="Arial"/>
      <w:sz w:val="18"/>
      <w:szCs w:val="18"/>
      <w:lang w:val="en-US"/>
    </w:rPr>
  </w:style>
  <w:style w:type="character" w:customStyle="1" w:styleId="Ttulo3Car">
    <w:name w:val="Título 3 Car"/>
    <w:basedOn w:val="Fuentedeprrafopredeter"/>
    <w:link w:val="Ttulo3"/>
    <w:uiPriority w:val="1"/>
    <w:rsid w:val="005E49E5"/>
    <w:rPr>
      <w:rFonts w:ascii="Arial" w:eastAsia="Arial" w:hAnsi="Arial" w:cs="Arial"/>
      <w:i/>
      <w:sz w:val="18"/>
      <w:szCs w:val="18"/>
      <w:lang w:val="en-US"/>
    </w:rPr>
  </w:style>
  <w:style w:type="paragraph" w:styleId="Textoindependiente">
    <w:name w:val="Body Text"/>
    <w:basedOn w:val="Normal"/>
    <w:link w:val="TextoindependienteCar"/>
    <w:uiPriority w:val="1"/>
    <w:qFormat/>
    <w:rsid w:val="005E49E5"/>
    <w:rPr>
      <w:sz w:val="16"/>
      <w:szCs w:val="16"/>
    </w:rPr>
  </w:style>
  <w:style w:type="character" w:customStyle="1" w:styleId="TextoindependienteCar">
    <w:name w:val="Texto independiente Car"/>
    <w:basedOn w:val="Fuentedeprrafopredeter"/>
    <w:link w:val="Textoindependiente"/>
    <w:uiPriority w:val="1"/>
    <w:rsid w:val="005E49E5"/>
    <w:rPr>
      <w:rFonts w:ascii="Arial" w:eastAsia="Arial" w:hAnsi="Arial" w:cs="Arial"/>
      <w:sz w:val="16"/>
      <w:szCs w:val="16"/>
      <w:lang w:val="en-US"/>
    </w:rPr>
  </w:style>
  <w:style w:type="paragraph" w:styleId="Prrafodelista">
    <w:name w:val="List Paragraph"/>
    <w:basedOn w:val="Normal"/>
    <w:uiPriority w:val="1"/>
    <w:qFormat/>
    <w:rsid w:val="005E49E5"/>
  </w:style>
  <w:style w:type="paragraph" w:customStyle="1" w:styleId="TableParagraph">
    <w:name w:val="Table Paragraph"/>
    <w:basedOn w:val="Normal"/>
    <w:uiPriority w:val="1"/>
    <w:qFormat/>
    <w:rsid w:val="005E49E5"/>
  </w:style>
  <w:style w:type="paragraph" w:styleId="Encabezado">
    <w:name w:val="header"/>
    <w:basedOn w:val="Normal"/>
    <w:link w:val="EncabezadoCar"/>
    <w:uiPriority w:val="99"/>
    <w:unhideWhenUsed/>
    <w:rsid w:val="005E49E5"/>
    <w:pPr>
      <w:tabs>
        <w:tab w:val="center" w:pos="4252"/>
        <w:tab w:val="right" w:pos="8504"/>
      </w:tabs>
    </w:pPr>
  </w:style>
  <w:style w:type="character" w:customStyle="1" w:styleId="EncabezadoCar">
    <w:name w:val="Encabezado Car"/>
    <w:basedOn w:val="Fuentedeprrafopredeter"/>
    <w:link w:val="Encabezado"/>
    <w:uiPriority w:val="99"/>
    <w:rsid w:val="005E49E5"/>
    <w:rPr>
      <w:rFonts w:ascii="Arial" w:eastAsia="Arial" w:hAnsi="Arial" w:cs="Arial"/>
      <w:lang w:val="en-US"/>
    </w:rPr>
  </w:style>
  <w:style w:type="paragraph" w:styleId="Piedepgina">
    <w:name w:val="footer"/>
    <w:basedOn w:val="Normal"/>
    <w:link w:val="PiedepginaCar"/>
    <w:uiPriority w:val="99"/>
    <w:unhideWhenUsed/>
    <w:rsid w:val="005E49E5"/>
    <w:pPr>
      <w:tabs>
        <w:tab w:val="center" w:pos="4252"/>
        <w:tab w:val="right" w:pos="8504"/>
      </w:tabs>
    </w:pPr>
  </w:style>
  <w:style w:type="character" w:customStyle="1" w:styleId="PiedepginaCar">
    <w:name w:val="Pie de página Car"/>
    <w:basedOn w:val="Fuentedeprrafopredeter"/>
    <w:link w:val="Piedepgina"/>
    <w:uiPriority w:val="99"/>
    <w:rsid w:val="005E49E5"/>
    <w:rPr>
      <w:rFonts w:ascii="Arial" w:eastAsia="Arial" w:hAnsi="Arial" w:cs="Arial"/>
      <w:lang w:val="en-US"/>
    </w:rPr>
  </w:style>
  <w:style w:type="table" w:styleId="Tablaconcuadrcula">
    <w:name w:val="Table Grid"/>
    <w:basedOn w:val="Tablanormal"/>
    <w:uiPriority w:val="59"/>
    <w:rsid w:val="005E49E5"/>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E49E5"/>
    <w:rPr>
      <w:color w:val="0000FF" w:themeColor="hyperlink"/>
      <w:u w:val="single"/>
    </w:rPr>
  </w:style>
  <w:style w:type="character" w:customStyle="1" w:styleId="TextonotapieCar">
    <w:name w:val="Texto nota pie Car"/>
    <w:basedOn w:val="Fuentedeprrafopredeter"/>
    <w:link w:val="Textonotapie"/>
    <w:uiPriority w:val="99"/>
    <w:semiHidden/>
    <w:rsid w:val="005E49E5"/>
    <w:rPr>
      <w:rFonts w:ascii="Arial" w:eastAsia="Arial" w:hAnsi="Arial" w:cs="Arial"/>
      <w:sz w:val="20"/>
      <w:szCs w:val="20"/>
      <w:lang w:val="en-US"/>
    </w:rPr>
  </w:style>
  <w:style w:type="paragraph" w:styleId="Textonotapie">
    <w:name w:val="footnote text"/>
    <w:basedOn w:val="Normal"/>
    <w:link w:val="TextonotapieCar"/>
    <w:uiPriority w:val="99"/>
    <w:semiHidden/>
    <w:unhideWhenUsed/>
    <w:rsid w:val="005E49E5"/>
    <w:rPr>
      <w:sz w:val="20"/>
      <w:szCs w:val="20"/>
    </w:rPr>
  </w:style>
  <w:style w:type="paragraph" w:styleId="Textodeglobo">
    <w:name w:val="Balloon Text"/>
    <w:basedOn w:val="Normal"/>
    <w:link w:val="TextodegloboCar"/>
    <w:uiPriority w:val="99"/>
    <w:semiHidden/>
    <w:unhideWhenUsed/>
    <w:rsid w:val="005E49E5"/>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9E5"/>
    <w:rPr>
      <w:rFonts w:ascii="Tahoma" w:eastAsia="Arial" w:hAnsi="Tahoma" w:cs="Tahoma"/>
      <w:sz w:val="16"/>
      <w:szCs w:val="16"/>
      <w:lang w:val="en-US"/>
    </w:rPr>
  </w:style>
  <w:style w:type="character" w:customStyle="1" w:styleId="Ttulo4Car">
    <w:name w:val="Título 4 Car"/>
    <w:basedOn w:val="Fuentedeprrafopredeter"/>
    <w:link w:val="Ttulo4"/>
    <w:uiPriority w:val="9"/>
    <w:rsid w:val="00005A76"/>
    <w:rPr>
      <w:rFonts w:asciiTheme="majorHAnsi" w:eastAsiaTheme="majorEastAsia" w:hAnsiTheme="majorHAnsi" w:cstheme="majorBidi"/>
      <w:b/>
      <w:bCs/>
      <w:i/>
      <w:iCs/>
      <w:color w:val="4F81BD" w:themeColor="accent1"/>
      <w:lang w:val="en-US"/>
    </w:rPr>
  </w:style>
  <w:style w:type="paragraph" w:styleId="Lista">
    <w:name w:val="List"/>
    <w:basedOn w:val="Normal"/>
    <w:uiPriority w:val="99"/>
    <w:unhideWhenUsed/>
    <w:rsid w:val="00005A76"/>
    <w:pPr>
      <w:ind w:left="283" w:hanging="283"/>
      <w:contextualSpacing/>
    </w:pPr>
  </w:style>
  <w:style w:type="paragraph" w:styleId="Lista2">
    <w:name w:val="List 2"/>
    <w:basedOn w:val="Normal"/>
    <w:uiPriority w:val="99"/>
    <w:unhideWhenUsed/>
    <w:rsid w:val="00005A76"/>
    <w:pPr>
      <w:ind w:left="566" w:hanging="283"/>
      <w:contextualSpacing/>
    </w:pPr>
  </w:style>
  <w:style w:type="paragraph" w:styleId="Sangradetextonormal">
    <w:name w:val="Body Text Indent"/>
    <w:basedOn w:val="Normal"/>
    <w:link w:val="SangradetextonormalCar"/>
    <w:uiPriority w:val="99"/>
    <w:unhideWhenUsed/>
    <w:rsid w:val="00005A76"/>
    <w:pPr>
      <w:spacing w:after="120"/>
      <w:ind w:left="283"/>
    </w:pPr>
  </w:style>
  <w:style w:type="character" w:customStyle="1" w:styleId="SangradetextonormalCar">
    <w:name w:val="Sangría de texto normal Car"/>
    <w:basedOn w:val="Fuentedeprrafopredeter"/>
    <w:link w:val="Sangradetextonormal"/>
    <w:uiPriority w:val="99"/>
    <w:rsid w:val="00005A76"/>
    <w:rPr>
      <w:rFonts w:ascii="Arial" w:eastAsia="Arial" w:hAnsi="Arial" w:cs="Arial"/>
      <w:lang w:val="en-US"/>
    </w:rPr>
  </w:style>
  <w:style w:type="paragraph" w:styleId="Textoindependienteprimerasangra">
    <w:name w:val="Body Text First Indent"/>
    <w:basedOn w:val="Textoindependiente"/>
    <w:link w:val="TextoindependienteprimerasangraCar"/>
    <w:uiPriority w:val="99"/>
    <w:unhideWhenUsed/>
    <w:rsid w:val="00005A76"/>
    <w:pPr>
      <w:ind w:firstLine="360"/>
    </w:pPr>
    <w:rPr>
      <w:sz w:val="22"/>
      <w:szCs w:val="22"/>
    </w:rPr>
  </w:style>
  <w:style w:type="character" w:customStyle="1" w:styleId="TextoindependienteprimerasangraCar">
    <w:name w:val="Texto independiente primera sangría Car"/>
    <w:basedOn w:val="TextoindependienteCar"/>
    <w:link w:val="Textoindependienteprimerasangra"/>
    <w:uiPriority w:val="99"/>
    <w:rsid w:val="00005A76"/>
  </w:style>
  <w:style w:type="character" w:styleId="Hipervnculovisitado">
    <w:name w:val="FollowedHyperlink"/>
    <w:basedOn w:val="Fuentedeprrafopredeter"/>
    <w:uiPriority w:val="99"/>
    <w:semiHidden/>
    <w:unhideWhenUsed/>
    <w:rsid w:val="008A413E"/>
    <w:rPr>
      <w:color w:val="800080"/>
      <w:u w:val="single"/>
    </w:rPr>
  </w:style>
  <w:style w:type="paragraph" w:customStyle="1" w:styleId="xl63">
    <w:name w:val="xl63"/>
    <w:basedOn w:val="Normal"/>
    <w:rsid w:val="008A413E"/>
    <w:pPr>
      <w:widowControl/>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64">
    <w:name w:val="xl64"/>
    <w:basedOn w:val="Normal"/>
    <w:rsid w:val="008A413E"/>
    <w:pPr>
      <w:widowControl/>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65">
    <w:name w:val="xl65"/>
    <w:basedOn w:val="Normal"/>
    <w:rsid w:val="008A413E"/>
    <w:pPr>
      <w:widowControl/>
      <w:spacing w:before="100" w:beforeAutospacing="1" w:after="100" w:afterAutospacing="1"/>
      <w:jc w:val="center"/>
    </w:pPr>
    <w:rPr>
      <w:rFonts w:ascii="Times New Roman" w:eastAsia="Times New Roman" w:hAnsi="Times New Roman" w:cs="Times New Roman"/>
      <w:sz w:val="16"/>
      <w:szCs w:val="16"/>
      <w:lang w:val="es-ES" w:eastAsia="es-ES"/>
    </w:rPr>
  </w:style>
  <w:style w:type="character" w:styleId="Refdenotaalpie">
    <w:name w:val="footnote reference"/>
    <w:basedOn w:val="Fuentedeprrafopredeter"/>
    <w:uiPriority w:val="99"/>
    <w:semiHidden/>
    <w:unhideWhenUsed/>
    <w:rsid w:val="00652F48"/>
    <w:rPr>
      <w:vertAlign w:val="superscript"/>
    </w:rPr>
  </w:style>
</w:styles>
</file>

<file path=word/webSettings.xml><?xml version="1.0" encoding="utf-8"?>
<w:webSettings xmlns:r="http://schemas.openxmlformats.org/officeDocument/2006/relationships" xmlns:w="http://schemas.openxmlformats.org/wordprocessingml/2006/main">
  <w:divs>
    <w:div w:id="21352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11/obes.12474" TargetMode="External"/><Relationship Id="rId18" Type="http://schemas.openxmlformats.org/officeDocument/2006/relationships/hyperlink" Target="https://doi.org/10.1016/B978-0-12-813524-2.00004-4" TargetMode="External"/><Relationship Id="rId26" Type="http://schemas.openxmlformats.org/officeDocument/2006/relationships/hyperlink" Target="https://doi.org/10.24018/ejeng.2016.1.6.197" TargetMode="External"/><Relationship Id="rId3" Type="http://schemas.openxmlformats.org/officeDocument/2006/relationships/styles" Target="styles.xml"/><Relationship Id="rId21" Type="http://schemas.openxmlformats.org/officeDocument/2006/relationships/hyperlink" Target="https://doi.org/10.1007/s10663-015-9281-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77/1536867x0500500401" TargetMode="External"/><Relationship Id="rId17" Type="http://schemas.openxmlformats.org/officeDocument/2006/relationships/hyperlink" Target="http://dx.doi.org/10.1561/105.00000003" TargetMode="External"/><Relationship Id="rId25" Type="http://schemas.openxmlformats.org/officeDocument/2006/relationships/hyperlink" Target="https://doi.org/10.1080/01603477.2018.14862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joes.12090" TargetMode="External"/><Relationship Id="rId20" Type="http://schemas.openxmlformats.org/officeDocument/2006/relationships/hyperlink" Target="https://doi.org/10.23895%2Fkdijep.2016.38.4.23" TargetMode="External"/><Relationship Id="rId29" Type="http://schemas.openxmlformats.org/officeDocument/2006/relationships/hyperlink" Target="https://doi.org/10.1080/23311975.2020.1831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2082979" TargetMode="External"/><Relationship Id="rId24" Type="http://schemas.openxmlformats.org/officeDocument/2006/relationships/hyperlink" Target="https://doi.org/10.2307/2534258" TargetMode="External"/><Relationship Id="rId32" Type="http://schemas.openxmlformats.org/officeDocument/2006/relationships/hyperlink" Target="https://doi.org/10.1257/aer.20181585" TargetMode="External"/><Relationship Id="rId5" Type="http://schemas.openxmlformats.org/officeDocument/2006/relationships/webSettings" Target="webSettings.xml"/><Relationship Id="rId15" Type="http://schemas.openxmlformats.org/officeDocument/2006/relationships/hyperlink" Target="https://doi.org/10.1007/s11205-018-2024-y" TargetMode="External"/><Relationship Id="rId23" Type="http://schemas.openxmlformats.org/officeDocument/2006/relationships/hyperlink" Target="https://doi.org/10.1093/qje/qjx017" TargetMode="External"/><Relationship Id="rId28" Type="http://schemas.openxmlformats.org/officeDocument/2006/relationships/hyperlink" Target="https://doi.org/10.1016/j.jedc.2022.104456" TargetMode="External"/><Relationship Id="rId10" Type="http://schemas.openxmlformats.org/officeDocument/2006/relationships/hyperlink" Target="https://doi.org/10.1016/j.red.2020.02.002" TargetMode="External"/><Relationship Id="rId19" Type="http://schemas.openxmlformats.org/officeDocument/2006/relationships/hyperlink" Target="https://doi.org/10.1093/epolic/eiv017" TargetMode="External"/><Relationship Id="rId31" Type="http://schemas.openxmlformats.org/officeDocument/2006/relationships/hyperlink" Target="https://doi.org/10.3386/w14631" TargetMode="External"/><Relationship Id="rId4" Type="http://schemas.openxmlformats.org/officeDocument/2006/relationships/settings" Target="settings.xml"/><Relationship Id="rId9" Type="http://schemas.openxmlformats.org/officeDocument/2006/relationships/hyperlink" Target="https://doi.org/10.1787/9789264281288-7-en" TargetMode="External"/><Relationship Id="rId14" Type="http://schemas.openxmlformats.org/officeDocument/2006/relationships/hyperlink" Target="https://doi.org/10.1093/restud/rdw021" TargetMode="External"/><Relationship Id="rId22" Type="http://schemas.openxmlformats.org/officeDocument/2006/relationships/hyperlink" Target="https://doi.org/10.1007/s10888-016-9334-6" TargetMode="External"/><Relationship Id="rId27" Type="http://schemas.openxmlformats.org/officeDocument/2006/relationships/hyperlink" Target="https://doi.org/10.1007/s10797-018-9513-4" TargetMode="External"/><Relationship Id="rId30" Type="http://schemas.openxmlformats.org/officeDocument/2006/relationships/hyperlink" Target="https://doi.org/10.1093/cje/bev0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5E826-91DC-42BD-88D6-DA961391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23</Pages>
  <Words>7762</Words>
  <Characters>42693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Cristian</cp:lastModifiedBy>
  <cp:revision>227</cp:revision>
  <dcterms:created xsi:type="dcterms:W3CDTF">2023-06-21T20:44:00Z</dcterms:created>
  <dcterms:modified xsi:type="dcterms:W3CDTF">2023-11-16T20:52:00Z</dcterms:modified>
</cp:coreProperties>
</file>