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E" w:rsidRDefault="000E3052" w:rsidP="000E3052">
      <w:pPr>
        <w:spacing w:before="240"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noProof/>
          <w:sz w:val="24"/>
          <w:szCs w:val="24"/>
          <w:highlight w:val="white"/>
          <w:u w:val="single"/>
          <w:lang w:val="es-AR"/>
        </w:rPr>
        <w:drawing>
          <wp:inline distT="114300" distB="114300" distL="114300" distR="114300">
            <wp:extent cx="5619750" cy="1609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0D2E" w:rsidRDefault="00390D2E" w:rsidP="000E3052">
      <w:pPr>
        <w:spacing w:before="240" w:line="360" w:lineRule="auto"/>
        <w:jc w:val="center"/>
        <w:rPr>
          <w:b/>
          <w:sz w:val="24"/>
          <w:szCs w:val="24"/>
          <w:highlight w:val="white"/>
          <w:u w:val="single"/>
        </w:rPr>
      </w:pPr>
    </w:p>
    <w:p w:rsidR="00390D2E" w:rsidRPr="000E3052" w:rsidRDefault="000E3052" w:rsidP="000E30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highlight w:val="white"/>
          <w:u w:val="single"/>
        </w:rPr>
      </w:pPr>
      <w:r w:rsidRPr="000E3052">
        <w:rPr>
          <w:rFonts w:ascii="Times New Roman" w:eastAsia="Times New Roman" w:hAnsi="Times New Roman" w:cs="Times New Roman"/>
          <w:b/>
          <w:highlight w:val="white"/>
          <w:u w:val="single"/>
        </w:rPr>
        <w:t>TITULO:</w:t>
      </w:r>
    </w:p>
    <w:p w:rsidR="00390D2E" w:rsidRPr="000E3052" w:rsidRDefault="000E3052" w:rsidP="000E3052">
      <w:pPr>
        <w:spacing w:before="240"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bookmarkStart w:id="0" w:name="_GoBack"/>
      <w:r w:rsidRPr="000E3052">
        <w:rPr>
          <w:rFonts w:ascii="Times New Roman" w:eastAsia="Times New Roman" w:hAnsi="Times New Roman" w:cs="Times New Roman"/>
          <w:highlight w:val="white"/>
        </w:rPr>
        <w:t>“IMPACTO DE LA DEROGACIÓN DE NORMAS RELATIVAS A SANCIONES ESPECIALES POR AUSENCIA O DEFICIENCIAS REGISTRALES”</w:t>
      </w:r>
    </w:p>
    <w:bookmarkEnd w:id="0"/>
    <w:p w:rsidR="00390D2E" w:rsidRPr="000E3052" w:rsidRDefault="000E3052" w:rsidP="000E30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E3052"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 </w:t>
      </w:r>
      <w:r w:rsidRPr="000E3052">
        <w:rPr>
          <w:rFonts w:ascii="Times New Roman" w:eastAsia="Times New Roman" w:hAnsi="Times New Roman" w:cs="Times New Roman"/>
          <w:b/>
          <w:u w:val="single"/>
        </w:rPr>
        <w:t xml:space="preserve"> CARRERA:</w:t>
      </w:r>
    </w:p>
    <w:p w:rsidR="00390D2E" w:rsidRPr="000E3052" w:rsidRDefault="000E3052" w:rsidP="000E3052">
      <w:pPr>
        <w:spacing w:before="240"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r w:rsidRPr="000E3052">
        <w:rPr>
          <w:rFonts w:ascii="Times New Roman" w:eastAsia="Times New Roman" w:hAnsi="Times New Roman" w:cs="Times New Roman"/>
        </w:rPr>
        <w:t>CONTADOR PÚBLICO</w:t>
      </w:r>
    </w:p>
    <w:p w:rsidR="00390D2E" w:rsidRPr="000E3052" w:rsidRDefault="000E3052" w:rsidP="000E30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highlight w:val="white"/>
          <w:u w:val="single"/>
        </w:rPr>
      </w:pPr>
      <w:r w:rsidRPr="000E3052">
        <w:rPr>
          <w:rFonts w:ascii="Times New Roman" w:eastAsia="Times New Roman" w:hAnsi="Times New Roman" w:cs="Times New Roman"/>
          <w:b/>
          <w:highlight w:val="white"/>
          <w:u w:val="single"/>
        </w:rPr>
        <w:t>ESTUDIANTES: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Cainelli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Yamir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 xml:space="preserve"> (27225) 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hyperlink r:id="rId5">
        <w:r w:rsidRPr="000E305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ycainelli@gmail.com</w:t>
        </w:r>
      </w:hyperlink>
      <w:r w:rsidRPr="000E3052">
        <w:rPr>
          <w:rFonts w:ascii="Times New Roman" w:eastAsia="Times New Roman" w:hAnsi="Times New Roman" w:cs="Times New Roman"/>
          <w:highlight w:val="white"/>
        </w:rPr>
        <w:br/>
      </w:r>
      <w:r w:rsidRPr="000E3052">
        <w:rPr>
          <w:rFonts w:ascii="Times New Roman" w:eastAsia="Times New Roman" w:hAnsi="Times New Roman" w:cs="Times New Roman"/>
          <w:highlight w:val="white"/>
        </w:rPr>
        <w:t xml:space="preserve">Espino </w:t>
      </w: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Juarez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 xml:space="preserve">, Paulina 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hyperlink r:id="rId6">
        <w:r w:rsidRPr="000E305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paulinaaespino17@gmail.com</w:t>
        </w:r>
      </w:hyperlink>
      <w:r w:rsidRPr="000E3052">
        <w:rPr>
          <w:rFonts w:ascii="Times New Roman" w:eastAsia="Times New Roman" w:hAnsi="Times New Roman" w:cs="Times New Roman"/>
          <w:highlight w:val="white"/>
        </w:rPr>
        <w:br/>
        <w:t xml:space="preserve">Grossi, </w:t>
      </w: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Maria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 xml:space="preserve"> Constanza (26997)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hyperlink r:id="rId7">
        <w:r w:rsidRPr="000E305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 grossicoti97@gmail.com</w:t>
        </w:r>
      </w:hyperlink>
      <w:r w:rsidRPr="000E3052">
        <w:rPr>
          <w:rFonts w:ascii="Times New Roman" w:eastAsia="Times New Roman" w:hAnsi="Times New Roman" w:cs="Times New Roman"/>
          <w:highlight w:val="white"/>
        </w:rPr>
        <w:br/>
      </w: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Racca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>, German (31403)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hyperlink r:id="rId8">
        <w:r w:rsidRPr="000E305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germanracca39@gmail.com</w:t>
        </w:r>
      </w:hyperlink>
      <w:r w:rsidRPr="000E3052">
        <w:rPr>
          <w:rFonts w:ascii="Times New Roman" w:eastAsia="Times New Roman" w:hAnsi="Times New Roman" w:cs="Times New Roman"/>
          <w:highlight w:val="white"/>
        </w:rPr>
        <w:br/>
      </w:r>
      <w:proofErr w:type="spellStart"/>
      <w:r w:rsidRPr="000E3052">
        <w:rPr>
          <w:rFonts w:ascii="Times New Roman" w:eastAsia="Times New Roman" w:hAnsi="Times New Roman" w:cs="Times New Roman"/>
          <w:highlight w:val="white"/>
        </w:rPr>
        <w:t>Vignola</w:t>
      </w:r>
      <w:proofErr w:type="spellEnd"/>
      <w:r w:rsidRPr="000E3052">
        <w:rPr>
          <w:rFonts w:ascii="Times New Roman" w:eastAsia="Times New Roman" w:hAnsi="Times New Roman" w:cs="Times New Roman"/>
          <w:highlight w:val="white"/>
        </w:rPr>
        <w:t xml:space="preserve">, Natalia Soledad (31034) </w:t>
      </w:r>
    </w:p>
    <w:p w:rsidR="00390D2E" w:rsidRPr="000E3052" w:rsidRDefault="000E3052" w:rsidP="000E3052">
      <w:pPr>
        <w:spacing w:line="36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hyperlink r:id="rId9">
        <w:r w:rsidRPr="000E305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vignolanati</w:t>
        </w:r>
      </w:hyperlink>
      <w:hyperlink r:id="rId10">
        <w:r w:rsidRPr="000E3052">
          <w:rPr>
            <w:rFonts w:ascii="Times New Roman" w:hAnsi="Times New Roman" w:cs="Times New Roman"/>
            <w:color w:val="1155CC"/>
            <w:highlight w:val="white"/>
            <w:u w:val="single"/>
          </w:rPr>
          <w:t>@gmail.com</w:t>
        </w:r>
      </w:hyperlink>
      <w:r w:rsidRPr="000E3052">
        <w:rPr>
          <w:rFonts w:ascii="Times New Roman" w:hAnsi="Times New Roman" w:cs="Times New Roman"/>
          <w:color w:val="4D5156"/>
          <w:highlight w:val="white"/>
        </w:rPr>
        <w:t xml:space="preserve"> </w:t>
      </w:r>
      <w:r w:rsidRPr="000E3052">
        <w:rPr>
          <w:rFonts w:ascii="Times New Roman" w:eastAsia="Times New Roman" w:hAnsi="Times New Roman" w:cs="Times New Roman"/>
          <w:highlight w:val="white"/>
        </w:rPr>
        <w:br/>
      </w:r>
      <w:r w:rsidRPr="000E3052">
        <w:rPr>
          <w:rFonts w:ascii="Times New Roman" w:eastAsia="Times New Roman" w:hAnsi="Times New Roman" w:cs="Times New Roman"/>
          <w:highlight w:val="white"/>
        </w:rPr>
        <w:br/>
      </w:r>
      <w:r w:rsidRPr="000E3052">
        <w:rPr>
          <w:rFonts w:ascii="Times New Roman" w:eastAsia="Times New Roman" w:hAnsi="Times New Roman" w:cs="Times New Roman"/>
          <w:b/>
          <w:highlight w:val="white"/>
        </w:rPr>
        <w:t xml:space="preserve">UNIVERSIDAD NACIONAL DE VILLA </w:t>
      </w:r>
      <w:r w:rsidRPr="000E3052">
        <w:rPr>
          <w:rFonts w:ascii="Times New Roman" w:eastAsia="Times New Roman" w:hAnsi="Times New Roman" w:cs="Times New Roman"/>
          <w:b/>
          <w:highlight w:val="white"/>
        </w:rPr>
        <w:t>MARIA</w:t>
      </w:r>
      <w:r w:rsidRPr="000E3052">
        <w:rPr>
          <w:rFonts w:ascii="Times New Roman" w:eastAsia="Times New Roman" w:hAnsi="Times New Roman" w:cs="Times New Roman"/>
          <w:b/>
          <w:highlight w:val="white"/>
        </w:rPr>
        <w:br/>
        <w:t xml:space="preserve">CP: X5900, Villa </w:t>
      </w:r>
      <w:proofErr w:type="spellStart"/>
      <w:r w:rsidRPr="000E3052">
        <w:rPr>
          <w:rFonts w:ascii="Times New Roman" w:eastAsia="Times New Roman" w:hAnsi="Times New Roman" w:cs="Times New Roman"/>
          <w:b/>
          <w:highlight w:val="white"/>
        </w:rPr>
        <w:t>Maria</w:t>
      </w:r>
      <w:proofErr w:type="spellEnd"/>
      <w:r w:rsidRPr="000E3052">
        <w:rPr>
          <w:rFonts w:ascii="Times New Roman" w:eastAsia="Times New Roman" w:hAnsi="Times New Roman" w:cs="Times New Roman"/>
          <w:b/>
          <w:highlight w:val="white"/>
        </w:rPr>
        <w:br/>
      </w:r>
      <w:r w:rsidRPr="000E3052">
        <w:rPr>
          <w:rFonts w:ascii="Times New Roman" w:eastAsia="Times New Roman" w:hAnsi="Times New Roman" w:cs="Times New Roman"/>
          <w:b/>
          <w:highlight w:val="white"/>
        </w:rPr>
        <w:br/>
        <w:t xml:space="preserve">PALABRAS CLAVES: DNU 70/2023, Sanciones, Laboral. </w:t>
      </w:r>
    </w:p>
    <w:p w:rsidR="00390D2E" w:rsidRPr="000E3052" w:rsidRDefault="00390D2E" w:rsidP="000E3052">
      <w:pPr>
        <w:spacing w:line="360" w:lineRule="auto"/>
        <w:jc w:val="center"/>
        <w:rPr>
          <w:rFonts w:ascii="Times New Roman" w:eastAsia="Times New Roman" w:hAnsi="Times New Roman" w:cs="Times New Roman"/>
          <w:b/>
          <w:highlight w:val="white"/>
          <w:u w:val="single"/>
        </w:rPr>
      </w:pPr>
    </w:p>
    <w:p w:rsidR="00390D2E" w:rsidRPr="000E3052" w:rsidRDefault="000E3052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lastRenderedPageBreak/>
        <w:t xml:space="preserve">A través de la presente ponencia, se hace referencia sobre el </w:t>
      </w:r>
      <w:hyperlink r:id="rId11">
        <w:r w:rsidRPr="000E3052">
          <w:rPr>
            <w:rFonts w:ascii="Times New Roman" w:eastAsia="Times New Roman" w:hAnsi="Times New Roman" w:cs="Times New Roman"/>
            <w:b/>
          </w:rPr>
          <w:t>DNU 70/2023</w:t>
        </w:r>
      </w:hyperlink>
      <w:r w:rsidRPr="000E3052">
        <w:rPr>
          <w:rFonts w:ascii="Times New Roman" w:eastAsia="Times New Roman" w:hAnsi="Times New Roman" w:cs="Times New Roman"/>
        </w:rPr>
        <w:t xml:space="preserve"> promulgado el 21 de Diciembre de 2023, el cual</w:t>
      </w:r>
      <w:r w:rsidRPr="000E3052">
        <w:rPr>
          <w:rFonts w:ascii="Times New Roman" w:eastAsia="Times New Roman" w:hAnsi="Times New Roman" w:cs="Times New Roman"/>
        </w:rPr>
        <w:t xml:space="preserve"> declara la emergencia pública en materia económica, financiera, fiscal, administrativa, previsional, tarifaria, sanitaria y social hasta el 31 de Diciembre de 2025.</w:t>
      </w:r>
    </w:p>
    <w:p w:rsidR="00390D2E" w:rsidRPr="000E3052" w:rsidRDefault="000E3052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br/>
        <w:t>El mismo expone: “Que los emprendimientos, esencialmente privados, resultan el mejor recu</w:t>
      </w:r>
      <w:r w:rsidRPr="000E3052">
        <w:rPr>
          <w:rFonts w:ascii="Times New Roman" w:eastAsia="Times New Roman" w:hAnsi="Times New Roman" w:cs="Times New Roman"/>
        </w:rPr>
        <w:t>rso para la contención social, a través del empleo y la generación de bienes y servicios necesarios para la vida de toda la sociedad, y para ello se requieren cambios que permitan una expansión de la demanda de trabajo en el país. Que el empleo formal regi</w:t>
      </w:r>
      <w:r w:rsidRPr="000E3052">
        <w:rPr>
          <w:rFonts w:ascii="Times New Roman" w:eastAsia="Times New Roman" w:hAnsi="Times New Roman" w:cs="Times New Roman"/>
        </w:rPr>
        <w:t>strado no crece desde el año 2011, y es un hecho demostrado que las medidas estructurales adoptadas por la Ley de Empleo 24013 y por la Ley 25323 no han podido revertir el problema de la informalidad, en virtud de lo cual ... se modifican las Leyes … 24013</w:t>
      </w:r>
      <w:r w:rsidRPr="000E3052">
        <w:rPr>
          <w:rFonts w:ascii="Times New Roman" w:eastAsia="Times New Roman" w:hAnsi="Times New Roman" w:cs="Times New Roman"/>
        </w:rPr>
        <w:t>, 25345, 25877, 26727, 26844 y 27555 y se deroga la Ley 25323, a los efectos de mejorar y simplificar los procesos de registración, dándole seguridad jurídica a la relación laboral…”</w:t>
      </w:r>
    </w:p>
    <w:p w:rsidR="00390D2E" w:rsidRPr="000E3052" w:rsidRDefault="00390D2E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90D2E" w:rsidRPr="000E3052" w:rsidRDefault="000E3052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>El objetivo del trabajo es analizar el impacto en el empleo no registrad</w:t>
      </w:r>
      <w:r w:rsidRPr="000E3052">
        <w:rPr>
          <w:rFonts w:ascii="Times New Roman" w:eastAsia="Times New Roman" w:hAnsi="Times New Roman" w:cs="Times New Roman"/>
        </w:rPr>
        <w:t>o que tiene la derogación de sanciones por incumplimientos en la registración o deficiencias en la misma, poniendo énfasis principalmente en la Ley 24.013 y la Ley 25.323.</w:t>
      </w:r>
    </w:p>
    <w:p w:rsidR="00390D2E" w:rsidRPr="000E3052" w:rsidRDefault="00390D2E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>En este contexto, y bajo el fundamento que las “multas” oportunamente previstas por</w:t>
      </w:r>
      <w:r w:rsidRPr="000E3052">
        <w:rPr>
          <w:rFonts w:ascii="Times New Roman" w:eastAsia="Times New Roman" w:hAnsi="Times New Roman" w:cs="Times New Roman"/>
        </w:rPr>
        <w:t xml:space="preserve"> la ley no han cumplido el objetivo primario de alcanzar el trabajo debidamente registrado, el DNU plantea: </w:t>
      </w:r>
      <w:r w:rsidRPr="000E3052">
        <w:rPr>
          <w:rFonts w:ascii="Times New Roman" w:eastAsia="Times New Roman" w:hAnsi="Times New Roman" w:cs="Times New Roman"/>
        </w:rPr>
        <w:br/>
      </w:r>
      <w:r w:rsidRPr="000E3052">
        <w:rPr>
          <w:rFonts w:ascii="Times New Roman" w:eastAsia="Times New Roman" w:hAnsi="Times New Roman" w:cs="Times New Roman"/>
          <w:b/>
        </w:rPr>
        <w:t>Artículo 53:</w:t>
      </w:r>
      <w:r w:rsidRPr="000E3052">
        <w:rPr>
          <w:rFonts w:ascii="Times New Roman" w:eastAsia="Times New Roman" w:hAnsi="Times New Roman" w:cs="Times New Roman"/>
        </w:rPr>
        <w:t xml:space="preserve"> Deróguense los artículos 8 a 17 y 120, inciso a), de la Ley 24013. De esta manera, se deroga todo el régimen de regularización de empl</w:t>
      </w:r>
      <w:r w:rsidRPr="000E3052">
        <w:rPr>
          <w:rFonts w:ascii="Times New Roman" w:eastAsia="Times New Roman" w:hAnsi="Times New Roman" w:cs="Times New Roman"/>
        </w:rPr>
        <w:t>eo no registrado previsto, y con ello se eliminan las indemnizaciones contempladas a modo de sanción, por falta de registración (art. 8) o por errónea registración de la relación laboral (arts. 9 y 10). Además de eliminar la obligación contemplada en el ar</w:t>
      </w:r>
      <w:r w:rsidRPr="000E3052">
        <w:rPr>
          <w:rFonts w:ascii="Times New Roman" w:eastAsia="Times New Roman" w:hAnsi="Times New Roman" w:cs="Times New Roman"/>
        </w:rPr>
        <w:t xml:space="preserve">t. 120 inc. a) de efectuar las inscripciones que el art. 7 de la misma ley prevé, es decir la inscripción en los libros del art. 52 de la LCT y alta temprana de AFIP. </w:t>
      </w:r>
      <w:r w:rsidRPr="000E3052">
        <w:rPr>
          <w:rFonts w:ascii="Times New Roman" w:eastAsia="Times New Roman" w:hAnsi="Times New Roman" w:cs="Times New Roman"/>
        </w:rPr>
        <w:br/>
        <w:t xml:space="preserve">Por su parte, se plantea en el </w:t>
      </w:r>
      <w:r w:rsidRPr="000E3052">
        <w:rPr>
          <w:rFonts w:ascii="Times New Roman" w:eastAsia="Times New Roman" w:hAnsi="Times New Roman" w:cs="Times New Roman"/>
          <w:b/>
        </w:rPr>
        <w:t>Artículo 54:</w:t>
      </w:r>
      <w:r w:rsidRPr="000E30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3052">
        <w:rPr>
          <w:rFonts w:ascii="Times New Roman" w:eastAsia="Times New Roman" w:hAnsi="Times New Roman" w:cs="Times New Roman"/>
        </w:rPr>
        <w:t>Derógase</w:t>
      </w:r>
      <w:proofErr w:type="spellEnd"/>
      <w:r w:rsidRPr="000E3052">
        <w:rPr>
          <w:rFonts w:ascii="Times New Roman" w:eastAsia="Times New Roman" w:hAnsi="Times New Roman" w:cs="Times New Roman"/>
        </w:rPr>
        <w:t xml:space="preserve"> el artículo 9 de la Ley </w:t>
      </w:r>
      <w:proofErr w:type="gramStart"/>
      <w:r w:rsidRPr="000E3052">
        <w:rPr>
          <w:rFonts w:ascii="Times New Roman" w:eastAsia="Times New Roman" w:hAnsi="Times New Roman" w:cs="Times New Roman"/>
        </w:rPr>
        <w:t>25013,  lo</w:t>
      </w:r>
      <w:proofErr w:type="gramEnd"/>
      <w:r w:rsidRPr="000E3052">
        <w:rPr>
          <w:rFonts w:ascii="Times New Roman" w:eastAsia="Times New Roman" w:hAnsi="Times New Roman" w:cs="Times New Roman"/>
        </w:rPr>
        <w:t xml:space="preserve"> </w:t>
      </w:r>
      <w:r w:rsidRPr="000E3052">
        <w:rPr>
          <w:rFonts w:ascii="Times New Roman" w:eastAsia="Times New Roman" w:hAnsi="Times New Roman" w:cs="Times New Roman"/>
        </w:rPr>
        <w:t>que implica derogar la presunción de considerar la conducta asumida por la parte empleadora como temeraria y maliciosa en los términos del art. 275 de la LCT, cuando no se abone la indemnización por despido en tiempo y forma y sin causa justificada.</w:t>
      </w: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>Contin</w:t>
      </w:r>
      <w:r w:rsidRPr="000E3052">
        <w:rPr>
          <w:rFonts w:ascii="Times New Roman" w:eastAsia="Times New Roman" w:hAnsi="Times New Roman" w:cs="Times New Roman"/>
        </w:rPr>
        <w:t xml:space="preserve">úa en la misma línea con el </w:t>
      </w:r>
      <w:r w:rsidRPr="000E3052">
        <w:rPr>
          <w:rFonts w:ascii="Times New Roman" w:eastAsia="Times New Roman" w:hAnsi="Times New Roman" w:cs="Times New Roman"/>
          <w:b/>
        </w:rPr>
        <w:t>Artículo 59:</w:t>
      </w:r>
      <w:r w:rsidRPr="000E30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3052">
        <w:rPr>
          <w:rFonts w:ascii="Times New Roman" w:eastAsia="Times New Roman" w:hAnsi="Times New Roman" w:cs="Times New Roman"/>
        </w:rPr>
        <w:t>Sustitúyese</w:t>
      </w:r>
      <w:proofErr w:type="spellEnd"/>
      <w:r w:rsidRPr="000E3052">
        <w:rPr>
          <w:rFonts w:ascii="Times New Roman" w:eastAsia="Times New Roman" w:hAnsi="Times New Roman" w:cs="Times New Roman"/>
        </w:rPr>
        <w:t xml:space="preserve"> el artículo 7 de la Ley 24013 por el siguiente: ARTÍCULO 7 - “Se entiende que la relación o el contrato de trabajo se encuentran registrados cuando el trabajador esté inscripto en las formas y condicione</w:t>
      </w:r>
      <w:r w:rsidRPr="000E3052">
        <w:rPr>
          <w:rFonts w:ascii="Times New Roman" w:eastAsia="Times New Roman" w:hAnsi="Times New Roman" w:cs="Times New Roman"/>
        </w:rPr>
        <w:t xml:space="preserve">s que establezca la reglamentación que determine el Poder Ejecutivo. Dicha registración deberá ser simple, inmediata, expeditiva, y realizarse a través de medios electrónicos”; es decir, derogando el art. 7 </w:t>
      </w:r>
      <w:r w:rsidRPr="000E3052">
        <w:rPr>
          <w:rFonts w:ascii="Times New Roman" w:eastAsia="Times New Roman" w:hAnsi="Times New Roman" w:cs="Times New Roman"/>
        </w:rPr>
        <w:lastRenderedPageBreak/>
        <w:t>de la Ley 24013 -ya citado-, que establecía que l</w:t>
      </w:r>
      <w:r w:rsidRPr="000E3052">
        <w:rPr>
          <w:rFonts w:ascii="Times New Roman" w:eastAsia="Times New Roman" w:hAnsi="Times New Roman" w:cs="Times New Roman"/>
        </w:rPr>
        <w:t xml:space="preserve">a relación se consideraba registrada cuando la misma lo fuera en el libro artículo 52 (LCT) y por ante los organismos de la Seguridad Social.  </w:t>
      </w: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 xml:space="preserve">En tanto que por el </w:t>
      </w:r>
      <w:r w:rsidRPr="000E3052">
        <w:rPr>
          <w:rFonts w:ascii="Times New Roman" w:eastAsia="Times New Roman" w:hAnsi="Times New Roman" w:cs="Times New Roman"/>
          <w:b/>
        </w:rPr>
        <w:t>Artículo 60</w:t>
      </w:r>
      <w:r w:rsidRPr="000E30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3052">
        <w:rPr>
          <w:rFonts w:ascii="Times New Roman" w:eastAsia="Times New Roman" w:hAnsi="Times New Roman" w:cs="Times New Roman"/>
        </w:rPr>
        <w:t>Incorpórase</w:t>
      </w:r>
      <w:proofErr w:type="spellEnd"/>
      <w:r w:rsidRPr="000E3052">
        <w:rPr>
          <w:rFonts w:ascii="Times New Roman" w:eastAsia="Times New Roman" w:hAnsi="Times New Roman" w:cs="Times New Roman"/>
        </w:rPr>
        <w:t xml:space="preserve"> como artículo 7 bis de la Ley 24013, el siguiente: “ARTÍCULO 7 bis -</w:t>
      </w:r>
      <w:r w:rsidRPr="000E3052">
        <w:rPr>
          <w:rFonts w:ascii="Times New Roman" w:eastAsia="Times New Roman" w:hAnsi="Times New Roman" w:cs="Times New Roman"/>
        </w:rPr>
        <w:t xml:space="preserve"> En virtud de lo establecido en los artículos 29 y 30 de la Ley 20744, la registración efectuada en los términos del artículo 7 se considera plenamente eficaz cuando hubiera sido realizada por cualquiera de las personas intervinientes, humanas o jurídicas”</w:t>
      </w:r>
      <w:r w:rsidRPr="000E3052">
        <w:rPr>
          <w:rFonts w:ascii="Times New Roman" w:eastAsia="Times New Roman" w:hAnsi="Times New Roman" w:cs="Times New Roman"/>
        </w:rPr>
        <w:t>. De esta manera, la nueva norma propone que la registración puede ser realizada por “cualquiera de las personas intervinientes, humanas o jurídicas”. Recordemos que, hasta este momento, existía la obligación de que ambas empresas registren a los trabajado</w:t>
      </w:r>
      <w:r w:rsidRPr="000E3052">
        <w:rPr>
          <w:rFonts w:ascii="Times New Roman" w:eastAsia="Times New Roman" w:hAnsi="Times New Roman" w:cs="Times New Roman"/>
        </w:rPr>
        <w:t xml:space="preserve">res eventuales o subcontratados, con las salvedades de que la empleadora los debía registrar como dependientes, mientras que la usuaria debía dejar registro del tipo de contratación o subcontratación. </w:t>
      </w: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 xml:space="preserve">A través del </w:t>
      </w:r>
      <w:r w:rsidRPr="000E3052">
        <w:rPr>
          <w:rFonts w:ascii="Times New Roman" w:eastAsia="Times New Roman" w:hAnsi="Times New Roman" w:cs="Times New Roman"/>
          <w:b/>
        </w:rPr>
        <w:t>Artículo 61</w:t>
      </w:r>
      <w:r w:rsidRPr="000E3052">
        <w:rPr>
          <w:rFonts w:ascii="Times New Roman" w:eastAsia="Times New Roman" w:hAnsi="Times New Roman" w:cs="Times New Roman"/>
        </w:rPr>
        <w:t xml:space="preserve"> se incorpora un sistema de de</w:t>
      </w:r>
      <w:r w:rsidRPr="000E3052">
        <w:rPr>
          <w:rFonts w:ascii="Times New Roman" w:eastAsia="Times New Roman" w:hAnsi="Times New Roman" w:cs="Times New Roman"/>
        </w:rPr>
        <w:t xml:space="preserve">nuncia electrónico ante la AFIP del que podrá hacer uso la persona trabajadora para denunciar la falta de registración. En tanto que por el </w:t>
      </w:r>
      <w:r w:rsidRPr="000E3052">
        <w:rPr>
          <w:rFonts w:ascii="Times New Roman" w:eastAsia="Times New Roman" w:hAnsi="Times New Roman" w:cs="Times New Roman"/>
          <w:b/>
        </w:rPr>
        <w:t>Artículo 62</w:t>
      </w:r>
      <w:r w:rsidRPr="000E3052">
        <w:rPr>
          <w:rFonts w:ascii="Times New Roman" w:eastAsia="Times New Roman" w:hAnsi="Times New Roman" w:cs="Times New Roman"/>
        </w:rPr>
        <w:t xml:space="preserve"> incorpora (como artículo 7 </w:t>
      </w:r>
      <w:proofErr w:type="spellStart"/>
      <w:r w:rsidRPr="000E3052">
        <w:rPr>
          <w:rFonts w:ascii="Times New Roman" w:eastAsia="Times New Roman" w:hAnsi="Times New Roman" w:cs="Times New Roman"/>
        </w:rPr>
        <w:t>quáter</w:t>
      </w:r>
      <w:proofErr w:type="spellEnd"/>
      <w:r w:rsidRPr="000E3052">
        <w:rPr>
          <w:rFonts w:ascii="Times New Roman" w:eastAsia="Times New Roman" w:hAnsi="Times New Roman" w:cs="Times New Roman"/>
        </w:rPr>
        <w:t xml:space="preserve">) un mecanismo para la determinación de deuda y cumplimiento -si fuera </w:t>
      </w:r>
      <w:r w:rsidRPr="000E3052">
        <w:rPr>
          <w:rFonts w:ascii="Times New Roman" w:eastAsia="Times New Roman" w:hAnsi="Times New Roman" w:cs="Times New Roman"/>
        </w:rPr>
        <w:t>el caso mediante sentencia judicial firme del reconocimiento de una relación no registrada- a partir de la obligación de comunicar -dentro de los 10 días- al organismo recaudador. Dato no menor es que esta norma es similar a los arts. 44 y 46 de la ley 253</w:t>
      </w:r>
      <w:r w:rsidRPr="000E3052">
        <w:rPr>
          <w:rFonts w:ascii="Times New Roman" w:eastAsia="Times New Roman" w:hAnsi="Times New Roman" w:cs="Times New Roman"/>
        </w:rPr>
        <w:t xml:space="preserve">45 que fueron derogados por el art. 56 del DNU bajo análisis. </w:t>
      </w: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 xml:space="preserve">Por otra parte, en lo que hace a la Ley </w:t>
      </w:r>
      <w:proofErr w:type="gramStart"/>
      <w:r w:rsidRPr="000E3052">
        <w:rPr>
          <w:rFonts w:ascii="Times New Roman" w:eastAsia="Times New Roman" w:hAnsi="Times New Roman" w:cs="Times New Roman"/>
        </w:rPr>
        <w:t>25323 ,</w:t>
      </w:r>
      <w:proofErr w:type="gramEnd"/>
      <w:r w:rsidRPr="000E3052">
        <w:rPr>
          <w:rFonts w:ascii="Times New Roman" w:eastAsia="Times New Roman" w:hAnsi="Times New Roman" w:cs="Times New Roman"/>
        </w:rPr>
        <w:t xml:space="preserve"> el </w:t>
      </w:r>
      <w:r w:rsidRPr="000E3052">
        <w:rPr>
          <w:rFonts w:ascii="Times New Roman" w:eastAsia="Times New Roman" w:hAnsi="Times New Roman" w:cs="Times New Roman"/>
          <w:b/>
        </w:rPr>
        <w:t>Articulo 55</w:t>
      </w:r>
      <w:r w:rsidRPr="000E3052">
        <w:rPr>
          <w:rFonts w:ascii="Times New Roman" w:eastAsia="Times New Roman" w:hAnsi="Times New Roman" w:cs="Times New Roman"/>
        </w:rPr>
        <w:t xml:space="preserve"> -del DNU- la deroga. Recordemos que la citada ley duplica indemnizaciones por despido, en los casos que la relación laboral al mom</w:t>
      </w:r>
      <w:r w:rsidRPr="000E3052">
        <w:rPr>
          <w:rFonts w:ascii="Times New Roman" w:eastAsia="Times New Roman" w:hAnsi="Times New Roman" w:cs="Times New Roman"/>
        </w:rPr>
        <w:t>ento de la extinción del vínculo laboral, el contrato no esté registrado o lo estuviere deficientemente (art. 1), además de contemplar una sanción - que incrementa en un 50% las indemnizaciones legales previstas en los arts. 232, 233 y 245, LCT- y los artí</w:t>
      </w:r>
      <w:r w:rsidRPr="000E3052">
        <w:rPr>
          <w:rFonts w:ascii="Times New Roman" w:eastAsia="Times New Roman" w:hAnsi="Times New Roman" w:cs="Times New Roman"/>
        </w:rPr>
        <w:t xml:space="preserve">culos 6 y 7 de la Ley 25013 para los casos que la parte empleadora, debidamente intimada, no abonare dichas indemnizaciones y obligara a la parte trabajadora a judicializar el reclamo para el reconocimiento de sus derechos. </w:t>
      </w:r>
    </w:p>
    <w:p w:rsidR="00390D2E" w:rsidRPr="000E3052" w:rsidRDefault="000E3052" w:rsidP="000E305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0E3052">
        <w:rPr>
          <w:rFonts w:ascii="Times New Roman" w:eastAsia="Times New Roman" w:hAnsi="Times New Roman" w:cs="Times New Roman"/>
        </w:rPr>
        <w:t xml:space="preserve">En cuanto a la Ley 26884 (casas particulares), a través del </w:t>
      </w:r>
      <w:r w:rsidRPr="000E3052">
        <w:rPr>
          <w:rFonts w:ascii="Times New Roman" w:eastAsia="Times New Roman" w:hAnsi="Times New Roman" w:cs="Times New Roman"/>
          <w:b/>
        </w:rPr>
        <w:t>Articulo 58</w:t>
      </w:r>
      <w:r w:rsidRPr="000E3052">
        <w:rPr>
          <w:rFonts w:ascii="Times New Roman" w:eastAsia="Times New Roman" w:hAnsi="Times New Roman" w:cs="Times New Roman"/>
        </w:rPr>
        <w:t xml:space="preserve"> en cuanto deroga el artículo 50 de la misma. El mismo prevé una sanción ante la falta de registración o registración deficiente consistente en duplicar la indemnización que dicho régim</w:t>
      </w:r>
      <w:r w:rsidRPr="000E3052">
        <w:rPr>
          <w:rFonts w:ascii="Times New Roman" w:eastAsia="Times New Roman" w:hAnsi="Times New Roman" w:cs="Times New Roman"/>
        </w:rPr>
        <w:t xml:space="preserve">en contempla en su artículo 48, cuando la relación al momento del despido no estuviere registrada o lo estuviere de modo </w:t>
      </w:r>
      <w:proofErr w:type="spellStart"/>
      <w:r w:rsidRPr="000E3052">
        <w:rPr>
          <w:rFonts w:ascii="Times New Roman" w:eastAsia="Times New Roman" w:hAnsi="Times New Roman" w:cs="Times New Roman"/>
        </w:rPr>
        <w:t>deficiente.Por</w:t>
      </w:r>
      <w:proofErr w:type="spellEnd"/>
      <w:r w:rsidRPr="000E3052">
        <w:rPr>
          <w:rFonts w:ascii="Times New Roman" w:eastAsia="Times New Roman" w:hAnsi="Times New Roman" w:cs="Times New Roman"/>
        </w:rPr>
        <w:t xml:space="preserve"> lo que claramente esta reforma implica no solo un no reconocimiento de la situación real de estas personas trabajadoras </w:t>
      </w:r>
      <w:r w:rsidRPr="000E3052">
        <w:rPr>
          <w:rFonts w:ascii="Times New Roman" w:eastAsia="Times New Roman" w:hAnsi="Times New Roman" w:cs="Times New Roman"/>
        </w:rPr>
        <w:t>sino, un retroceso en cuanto a la conquista y reconocimiento de derechos e identidad laborales traducidos en una situación de discriminación laboral.</w:t>
      </w:r>
    </w:p>
    <w:p w:rsidR="00390D2E" w:rsidRPr="000E3052" w:rsidRDefault="000E3052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lastRenderedPageBreak/>
        <w:t>En conclusión, el DNU representa una transformación significativa en el régimen de control y sanción del e</w:t>
      </w:r>
      <w:r w:rsidRPr="000E3052">
        <w:rPr>
          <w:rFonts w:ascii="Times New Roman" w:eastAsia="Times New Roman" w:hAnsi="Times New Roman" w:cs="Times New Roman"/>
        </w:rPr>
        <w:t>mpleo no registrado en Argentina. La derogación y modificación de diversas leyes clave refleja un cambio de enfoque hacia una mayor simplificación y flexibilidad en la registración laboral, al tiempo que disminuye las sanciones y los costos asociados a los</w:t>
      </w:r>
      <w:r w:rsidRPr="000E3052">
        <w:rPr>
          <w:rFonts w:ascii="Times New Roman" w:eastAsia="Times New Roman" w:hAnsi="Times New Roman" w:cs="Times New Roman"/>
        </w:rPr>
        <w:t xml:space="preserve"> incumplimientos laborales. Aunque el DNU busca incentivar la formalización del empleo mediante la eliminación de multas y la simplificación de los procesos, esta medida ha generado controversia y preocupación entre especialistas y sectores gremiales. La r</w:t>
      </w:r>
      <w:r w:rsidRPr="000E3052">
        <w:rPr>
          <w:rFonts w:ascii="Times New Roman" w:eastAsia="Times New Roman" w:hAnsi="Times New Roman" w:cs="Times New Roman"/>
        </w:rPr>
        <w:t>educción de sanciones podría implicar un retroceso en la protección de derechos laborales y una mayor dificultad para los trabajadores en la reivindicación de sus derechos ante situaciones de incumplimiento.</w:t>
      </w:r>
    </w:p>
    <w:p w:rsidR="00390D2E" w:rsidRPr="000E3052" w:rsidRDefault="00390D2E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90D2E" w:rsidRPr="000E3052" w:rsidRDefault="000E3052" w:rsidP="000E30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E3052">
        <w:rPr>
          <w:rFonts w:ascii="Times New Roman" w:eastAsia="Times New Roman" w:hAnsi="Times New Roman" w:cs="Times New Roman"/>
        </w:rPr>
        <w:t>La eficacia de estas reformas dependerá de la i</w:t>
      </w:r>
      <w:r w:rsidRPr="000E3052">
        <w:rPr>
          <w:rFonts w:ascii="Times New Roman" w:eastAsia="Times New Roman" w:hAnsi="Times New Roman" w:cs="Times New Roman"/>
        </w:rPr>
        <w:t>mplementación efectiva del nuevo sistema de registración y de las respuestas del poder judicial ante posibles disputas. En cuanto a su aplicabilidad, la normativa podría tener efectos diferenciados sobre relaciones laborales actuales y concluidas, dependie</w:t>
      </w:r>
      <w:r w:rsidRPr="000E3052">
        <w:rPr>
          <w:rFonts w:ascii="Times New Roman" w:eastAsia="Times New Roman" w:hAnsi="Times New Roman" w:cs="Times New Roman"/>
        </w:rPr>
        <w:t>ndo de la interpretación de los principios de retroactividad y la naturaleza sancionatoria de las leyes anteriores. Así, mientras que la ley puede ofrecer beneficios en el presente, su impacto a largo plazo y sobre casos pasados seguirá siendo un tema de d</w:t>
      </w:r>
      <w:r w:rsidRPr="000E3052">
        <w:rPr>
          <w:rFonts w:ascii="Times New Roman" w:eastAsia="Times New Roman" w:hAnsi="Times New Roman" w:cs="Times New Roman"/>
        </w:rPr>
        <w:t>ebate y evaluación en el ámbito laboral.</w:t>
      </w:r>
    </w:p>
    <w:sectPr w:rsidR="00390D2E" w:rsidRPr="000E3052" w:rsidSect="000E3052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E"/>
    <w:rsid w:val="000E3052"/>
    <w:rsid w:val="003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E42D8-06A4-40CB-B712-8FAF1F0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racca39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ossicoti97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aaespino17@gmail.com" TargetMode="External"/><Relationship Id="rId11" Type="http://schemas.openxmlformats.org/officeDocument/2006/relationships/hyperlink" Target="https://trivia.consejo.org.ar/ficha/517843-decreto_dnu_702023._bases_para_la_reconstruccion_de_la_economia_argentina._disposiciones" TargetMode="External"/><Relationship Id="rId5" Type="http://schemas.openxmlformats.org/officeDocument/2006/relationships/hyperlink" Target="mailto:ycainelli@gmail.com" TargetMode="External"/><Relationship Id="rId10" Type="http://schemas.openxmlformats.org/officeDocument/2006/relationships/hyperlink" Target="mailto:vignolanati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ignolan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2024-09-15T13:39:00Z</dcterms:created>
  <dcterms:modified xsi:type="dcterms:W3CDTF">2024-09-15T13:45:00Z</dcterms:modified>
</cp:coreProperties>
</file>