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4AE64" w14:textId="77777777" w:rsidR="00654361" w:rsidRDefault="00C93C2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2EFBD638" wp14:editId="0E55FE49">
            <wp:extent cx="4591050" cy="2381250"/>
            <wp:effectExtent l="0" t="0" r="0" b="0"/>
            <wp:docPr id="10517001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82FE88" w14:textId="77777777" w:rsidR="00654361" w:rsidRDefault="00654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66B76D5" w14:textId="77777777" w:rsidR="00654361" w:rsidRDefault="00C93C2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“Perspectivas, realidades y prospectivas académico-profesionales”</w:t>
      </w:r>
    </w:p>
    <w:p w14:paraId="53BA9189" w14:textId="77777777" w:rsidR="00654361" w:rsidRDefault="00C93C2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 de octubre 2024, Villa María - 9 de octubre de 2024, San Francisco</w:t>
      </w:r>
    </w:p>
    <w:p w14:paraId="376E0B8A" w14:textId="77777777" w:rsidR="00654361" w:rsidRDefault="00C93C2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Provincia de Córdoba, Argentina</w:t>
      </w:r>
    </w:p>
    <w:p w14:paraId="13BD6DA6" w14:textId="77777777" w:rsidR="00654361" w:rsidRDefault="00654361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65243BD7" w14:textId="77777777" w:rsidR="00654361" w:rsidRDefault="00C93C22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Título: Innovación en la Información Financiera del sector público hacia la transformación digital</w:t>
      </w:r>
    </w:p>
    <w:p w14:paraId="3A188C56" w14:textId="77777777" w:rsidR="00654361" w:rsidRDefault="00C93C22">
      <w:pPr>
        <w:spacing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Autores</w:t>
      </w:r>
    </w:p>
    <w:p w14:paraId="5ACC81ED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Apellido/s y Nombre/s: </w:t>
      </w:r>
      <w:r>
        <w:rPr>
          <w:rFonts w:ascii="Times New Roman" w:eastAsia="Times New Roman" w:hAnsi="Times New Roman" w:cs="Times New Roman"/>
          <w:b/>
        </w:rPr>
        <w:t>Scavone Graciela, M.</w:t>
      </w:r>
    </w:p>
    <w:p w14:paraId="72A15442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Dirección: </w:t>
      </w:r>
    </w:p>
    <w:p w14:paraId="322A6F26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Universidad: Universidad de Buenos Aires - Universidad del Salvador</w:t>
      </w:r>
    </w:p>
    <w:p w14:paraId="20F6D25C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Dirección Postal: CABA</w:t>
      </w:r>
    </w:p>
    <w:p w14:paraId="37F0C6D3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Dirección de correo electrónico: gscavone@gmail.com</w:t>
      </w:r>
    </w:p>
    <w:p w14:paraId="2B08575C" w14:textId="77777777" w:rsidR="00654361" w:rsidRDefault="00654361">
      <w:pPr>
        <w:spacing w:line="360" w:lineRule="auto"/>
        <w:jc w:val="center"/>
        <w:rPr>
          <w:rFonts w:ascii="Times New Roman" w:eastAsia="Times New Roman" w:hAnsi="Times New Roman" w:cs="Times New Roman"/>
          <w:i/>
        </w:rPr>
      </w:pPr>
    </w:p>
    <w:p w14:paraId="7A0C1B91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Apellido/s y Nombre/s: </w:t>
      </w:r>
      <w:r>
        <w:rPr>
          <w:rFonts w:ascii="Times New Roman" w:eastAsia="Times New Roman" w:hAnsi="Times New Roman" w:cs="Times New Roman"/>
          <w:b/>
        </w:rPr>
        <w:t>Sanabria, Verónica Raquel</w:t>
      </w:r>
    </w:p>
    <w:p w14:paraId="3D8A7DE4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Dirección: Calle 1302 N°2064 (CP 1888)</w:t>
      </w:r>
    </w:p>
    <w:p w14:paraId="050C632E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Universidad: Universidad de Buenos Aires - Universidad del Salvador</w:t>
      </w:r>
    </w:p>
    <w:p w14:paraId="47459CE6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Dirección Postal: Provincia de Buenos Aires</w:t>
      </w:r>
    </w:p>
    <w:p w14:paraId="54A0FE71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Dirección de correo electrónico: veronicarsanabria@gmail.com</w:t>
      </w:r>
    </w:p>
    <w:p w14:paraId="3F4E1B8E" w14:textId="77777777" w:rsidR="00654361" w:rsidRDefault="00654361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283DCA5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Apellido/s y Nombre/s: </w:t>
      </w:r>
      <w:r>
        <w:rPr>
          <w:rFonts w:ascii="Times New Roman" w:eastAsia="Times New Roman" w:hAnsi="Times New Roman" w:cs="Times New Roman"/>
          <w:b/>
        </w:rPr>
        <w:t>Suarez, María del Carmen</w:t>
      </w:r>
    </w:p>
    <w:p w14:paraId="07B4796A" w14:textId="5FE7285D" w:rsidR="00654361" w:rsidRDefault="00C93C2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Dirección: Alsina 2525 5to G (CP 1090)</w:t>
      </w:r>
    </w:p>
    <w:p w14:paraId="31A29852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Universidad: Universidad del Salvador</w:t>
      </w:r>
    </w:p>
    <w:p w14:paraId="45BA6033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Dirección Postal: Ciudad de Buenos Aires</w:t>
      </w:r>
    </w:p>
    <w:p w14:paraId="1A095946" w14:textId="77777777" w:rsidR="00654361" w:rsidRDefault="00C93C22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Dirección de correo electrónico: mcsuarez@usal.edu.ar</w:t>
      </w:r>
    </w:p>
    <w:p w14:paraId="73B2969D" w14:textId="4B40C516" w:rsidR="00654361" w:rsidRDefault="00C93C22">
      <w:pPr>
        <w:tabs>
          <w:tab w:val="left" w:pos="5103"/>
        </w:tabs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Resumen</w:t>
      </w:r>
      <w:r w:rsidR="00276623">
        <w:rPr>
          <w:rFonts w:ascii="Times New Roman" w:eastAsia="Times New Roman" w:hAnsi="Times New Roman" w:cs="Times New Roman"/>
          <w:b/>
        </w:rPr>
        <w:t>:</w:t>
      </w:r>
    </w:p>
    <w:p w14:paraId="05F9BCCE" w14:textId="68A4F3BA" w:rsidR="00C149CD" w:rsidRDefault="00C149CD">
      <w:pPr>
        <w:spacing w:before="280" w:after="28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C93C22">
        <w:rPr>
          <w:rFonts w:ascii="Times New Roman" w:eastAsia="Times New Roman" w:hAnsi="Times New Roman" w:cs="Times New Roman"/>
        </w:rPr>
        <w:t xml:space="preserve">l sector público </w:t>
      </w:r>
      <w:r>
        <w:rPr>
          <w:rFonts w:ascii="Times New Roman" w:eastAsia="Times New Roman" w:hAnsi="Times New Roman" w:cs="Times New Roman"/>
        </w:rPr>
        <w:t xml:space="preserve">hace acciones para introducirse en </w:t>
      </w:r>
      <w:r w:rsidR="00C93C22">
        <w:rPr>
          <w:rFonts w:ascii="Times New Roman" w:eastAsia="Times New Roman" w:hAnsi="Times New Roman" w:cs="Times New Roman"/>
        </w:rPr>
        <w:t xml:space="preserve">innovación hacia la transformación digital y gobierno abierto </w:t>
      </w:r>
      <w:r>
        <w:rPr>
          <w:rFonts w:ascii="Times New Roman" w:eastAsia="Times New Roman" w:hAnsi="Times New Roman" w:cs="Times New Roman"/>
        </w:rPr>
        <w:t xml:space="preserve">con el objeto de generar </w:t>
      </w:r>
      <w:r w:rsidR="00C93C22">
        <w:rPr>
          <w:rFonts w:ascii="Times New Roman" w:eastAsia="Times New Roman" w:hAnsi="Times New Roman" w:cs="Times New Roman"/>
        </w:rPr>
        <w:t>Información Financiera para la rendición de cuentas. La problemática que se analiza se centra en la comunicación</w:t>
      </w:r>
      <w:r>
        <w:rPr>
          <w:rFonts w:ascii="Times New Roman" w:eastAsia="Times New Roman" w:hAnsi="Times New Roman" w:cs="Times New Roman"/>
        </w:rPr>
        <w:t xml:space="preserve"> del Estado</w:t>
      </w:r>
      <w:r w:rsidR="00C93C22">
        <w:rPr>
          <w:rFonts w:ascii="Times New Roman" w:eastAsia="Times New Roman" w:hAnsi="Times New Roman" w:cs="Times New Roman"/>
        </w:rPr>
        <w:t xml:space="preserve"> en sus tres niveles de gobiern</w:t>
      </w:r>
      <w:r>
        <w:rPr>
          <w:rFonts w:ascii="Times New Roman" w:eastAsia="Times New Roman" w:hAnsi="Times New Roman" w:cs="Times New Roman"/>
        </w:rPr>
        <w:t xml:space="preserve">o hacia la comunidad sobre el uso de </w:t>
      </w:r>
      <w:r w:rsidR="00C93C22">
        <w:rPr>
          <w:rFonts w:ascii="Times New Roman" w:eastAsia="Times New Roman" w:hAnsi="Times New Roman" w:cs="Times New Roman"/>
        </w:rPr>
        <w:t>los fondos públicos, la que es variada, compleja y, a menudo, difícil de entender para la sociedad civil.</w:t>
      </w:r>
    </w:p>
    <w:p w14:paraId="0E1827D1" w14:textId="77777777" w:rsidR="00C149CD" w:rsidRDefault="00C93C22">
      <w:pPr>
        <w:spacing w:before="280" w:after="28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Esta dificultad genera un distanciamiento entre el gobierno y los ciudadanos, quienes no siempre comprenden la información disponible</w:t>
      </w:r>
      <w:r w:rsidR="00C149CD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esto impide</w:t>
      </w:r>
      <w:r w:rsidR="00C149CD">
        <w:rPr>
          <w:rFonts w:ascii="Times New Roman" w:eastAsia="Times New Roman" w:hAnsi="Times New Roman" w:cs="Times New Roman"/>
        </w:rPr>
        <w:t xml:space="preserve"> entender </w:t>
      </w:r>
      <w:r>
        <w:rPr>
          <w:rFonts w:ascii="Times New Roman" w:eastAsia="Times New Roman" w:hAnsi="Times New Roman" w:cs="Times New Roman"/>
        </w:rPr>
        <w:t>la gestión financiera pública y afecta la confianza en las instituciones.</w:t>
      </w:r>
    </w:p>
    <w:p w14:paraId="0F564A7C" w14:textId="749A5915" w:rsidR="00C149CD" w:rsidRDefault="00C149CD">
      <w:pPr>
        <w:spacing w:before="280" w:after="28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 esta idea,</w:t>
      </w:r>
      <w:r w:rsidR="00C93C22">
        <w:rPr>
          <w:rFonts w:ascii="Times New Roman" w:eastAsia="Times New Roman" w:hAnsi="Times New Roman" w:cs="Times New Roman"/>
        </w:rPr>
        <w:t xml:space="preserve"> se analizan las entidades emisoras de la información financiera sobre la gestión del estado</w:t>
      </w:r>
      <w:r w:rsidR="00314869">
        <w:rPr>
          <w:rFonts w:ascii="Times New Roman" w:eastAsia="Times New Roman" w:hAnsi="Times New Roman" w:cs="Times New Roman"/>
        </w:rPr>
        <w:t xml:space="preserve">, como se puede mostrar para ser más comprensible, identificar </w:t>
      </w:r>
      <w:r w:rsidR="00C9624E">
        <w:rPr>
          <w:rFonts w:ascii="Times New Roman" w:eastAsia="Times New Roman" w:hAnsi="Times New Roman" w:cs="Times New Roman"/>
        </w:rPr>
        <w:t>estrategia</w:t>
      </w:r>
      <w:r w:rsidR="00314869">
        <w:rPr>
          <w:rFonts w:ascii="Times New Roman" w:eastAsia="Times New Roman" w:hAnsi="Times New Roman" w:cs="Times New Roman"/>
        </w:rPr>
        <w:t xml:space="preserve">s </w:t>
      </w:r>
      <w:r w:rsidR="00C9624E">
        <w:rPr>
          <w:rFonts w:ascii="Times New Roman" w:eastAsia="Times New Roman" w:hAnsi="Times New Roman" w:cs="Times New Roman"/>
        </w:rPr>
        <w:t>de formación de docentes de los distintos niveles educativos, y como capacitar a profesionales, periodistas, congresistas entre otros para que puedan comprenderla.</w:t>
      </w:r>
    </w:p>
    <w:p w14:paraId="2A7F12C0" w14:textId="32F7B4AA" w:rsidR="00D65A10" w:rsidRDefault="00C93C22">
      <w:pPr>
        <w:spacing w:before="280" w:after="28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Palabras Clave (3):  </w:t>
      </w:r>
      <w:r>
        <w:rPr>
          <w:rFonts w:ascii="Times New Roman" w:eastAsia="Times New Roman" w:hAnsi="Times New Roman" w:cs="Times New Roman"/>
        </w:rPr>
        <w:t>Comunicación, entidad emisora, rendición de cuentas.</w:t>
      </w:r>
    </w:p>
    <w:p w14:paraId="7C8BFC80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t>Introducción</w:t>
      </w:r>
    </w:p>
    <w:p w14:paraId="2162B7EF" w14:textId="3A483356" w:rsid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 xml:space="preserve">El concepto de gobierno abierto tiene como objetivo promover la participación ciudadana en la supervisión y demanda de transparencia en la gestión pública, así como fomentar una apertura equitativa por parte de los poderes Legislativo, Ejecutivo y Judicial. 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Oslak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 xml:space="preserve"> sugiere que los tres poderes del Estado deberían adoptar un Acuerdo Nacional para un Estado Abierto (ANEA), comprometiéndose a proporcionar información accesible y comprensible para los ciudadanos. </w:t>
      </w:r>
    </w:p>
    <w:p w14:paraId="1CE79899" w14:textId="77777777" w:rsidR="00314869" w:rsidRPr="00C47101" w:rsidRDefault="00314869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633701D8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t>Objetivos</w:t>
      </w:r>
    </w:p>
    <w:p w14:paraId="504EBA3F" w14:textId="07B5E042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Este trabajo tiene como objetivo examinar los esfuerzos realizados a nivel nacional e internacional en los últimos años para mejorar la transparencia y participación ciudadana. Se evaluará la percepción de estos esfuerzos por parte de la población y los gobiernos, así como las nuevas demandas y posiciones emergentes. Se analizará particularmente la implicación de Argentina en la implementación de un gobierno de datos abiertos, con un enfoque en la Secretaría de Hacienda de la Nación</w:t>
      </w:r>
      <w:r w:rsidR="00314869">
        <w:rPr>
          <w:rFonts w:ascii="Times New Roman" w:eastAsia="Times New Roman" w:hAnsi="Times New Roman" w:cs="Times New Roman"/>
          <w:bCs/>
        </w:rPr>
        <w:t>, y también de otros países</w:t>
      </w:r>
      <w:r w:rsidRPr="00C47101">
        <w:rPr>
          <w:rFonts w:ascii="Times New Roman" w:eastAsia="Times New Roman" w:hAnsi="Times New Roman" w:cs="Times New Roman"/>
          <w:bCs/>
        </w:rPr>
        <w:t xml:space="preserve">. </w:t>
      </w:r>
      <w:proofErr w:type="gramStart"/>
      <w:r w:rsidR="00314869">
        <w:rPr>
          <w:rFonts w:ascii="Times New Roman" w:eastAsia="Times New Roman" w:hAnsi="Times New Roman" w:cs="Times New Roman"/>
          <w:bCs/>
        </w:rPr>
        <w:t>Además</w:t>
      </w:r>
      <w:proofErr w:type="gramEnd"/>
      <w:r w:rsidR="00314869">
        <w:rPr>
          <w:rFonts w:ascii="Times New Roman" w:eastAsia="Times New Roman" w:hAnsi="Times New Roman" w:cs="Times New Roman"/>
          <w:bCs/>
        </w:rPr>
        <w:t xml:space="preserve"> </w:t>
      </w:r>
      <w:r w:rsidRPr="00C47101">
        <w:rPr>
          <w:rFonts w:ascii="Times New Roman" w:eastAsia="Times New Roman" w:hAnsi="Times New Roman" w:cs="Times New Roman"/>
          <w:bCs/>
        </w:rPr>
        <w:t>se presentará una propuesta para incorporar la educación sobre gestión estatal en los niveles educativos inicial, medio y superior</w:t>
      </w:r>
      <w:r w:rsidR="00C149CD">
        <w:rPr>
          <w:rFonts w:ascii="Times New Roman" w:eastAsia="Times New Roman" w:hAnsi="Times New Roman" w:cs="Times New Roman"/>
          <w:bCs/>
        </w:rPr>
        <w:t>.</w:t>
      </w:r>
    </w:p>
    <w:p w14:paraId="774BE99C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lastRenderedPageBreak/>
        <w:t>Metodología</w:t>
      </w:r>
    </w:p>
    <w:p w14:paraId="364E0700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La investigación se centra en las características de la transparencia de la información gubernamental a través de tecnologías digitales y su comprensión por parte de los usuarios.</w:t>
      </w:r>
    </w:p>
    <w:p w14:paraId="6A6F521B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t>Marco Teórico</w:t>
      </w:r>
    </w:p>
    <w:p w14:paraId="4BADBE1C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 xml:space="preserve">La Alianza para el Gobierno Abierto (OGP) promueve la transparencia, participación ciudadana y rendición de cuentas en el sector público. La OGP busca fortalecer la relación entre gobiernos, ciudadanos y la sociedad civil para asegurar que los gobiernos se enfoquen en acciones que respondan a las necesidades de la población en lugar de sus propios intereses (OGP, 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n.d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.). Los principios clave de la OGP incluyen:</w:t>
      </w:r>
    </w:p>
    <w:p w14:paraId="63630C04" w14:textId="77777777" w:rsidR="00C47101" w:rsidRPr="00C47101" w:rsidRDefault="00C47101" w:rsidP="00C47101">
      <w:pPr>
        <w:numPr>
          <w:ilvl w:val="0"/>
          <w:numId w:val="13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Transparencia: Asegurar que la información relevante sea accesible y comprensible para los ciudadanos.</w:t>
      </w:r>
    </w:p>
    <w:p w14:paraId="69D0D91B" w14:textId="77777777" w:rsidR="00C47101" w:rsidRPr="00C47101" w:rsidRDefault="00C47101" w:rsidP="00C47101">
      <w:pPr>
        <w:numPr>
          <w:ilvl w:val="0"/>
          <w:numId w:val="13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Participación Ciudadana: Incluir a los ciudadanos en la toma de decisiones gubernamentales.</w:t>
      </w:r>
    </w:p>
    <w:p w14:paraId="0C25D0FB" w14:textId="77777777" w:rsidR="00C47101" w:rsidRPr="00C47101" w:rsidRDefault="00C47101" w:rsidP="00C47101">
      <w:pPr>
        <w:numPr>
          <w:ilvl w:val="0"/>
          <w:numId w:val="13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Rendición de Cuentas: Garantizar que los gobiernos sean responsables de sus acciones y decisiones.</w:t>
      </w:r>
    </w:p>
    <w:p w14:paraId="21CEDD71" w14:textId="77777777" w:rsidR="00C47101" w:rsidRPr="00C47101" w:rsidRDefault="00C47101" w:rsidP="00C47101">
      <w:pPr>
        <w:numPr>
          <w:ilvl w:val="0"/>
          <w:numId w:val="13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Integridad: Combatir la corrupción y asegurar un uso eficaz y ético de los recursos.</w:t>
      </w:r>
    </w:p>
    <w:p w14:paraId="1811EAA1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 xml:space="preserve">El "Mecanismo de Revisión Independiente" (IRM) evalúa el progreso de los compromisos gubernamentales y destaca tanto éxitos como desafíos (OGP, 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n.d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.).</w:t>
      </w:r>
    </w:p>
    <w:p w14:paraId="0262ED45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t>Desafíos y Contexto Global</w:t>
      </w:r>
    </w:p>
    <w:p w14:paraId="28352E2F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A pesar de los esfuerzos de la OGP, implementar sus principios enfrenta desafíos significativos, incluyendo conflictos, corrupción y crisis climáticas globales que afectan la rendición de cuentas y la gestión de recursos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Kettunen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 xml:space="preserve"> &amp; 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Kallio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2019). La aparición de líderes autoritarios también puede socavar los principios de participación y transparencia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Linders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2012).</w:t>
      </w:r>
    </w:p>
    <w:p w14:paraId="1B398ACF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t>Desarrollo</w:t>
      </w:r>
    </w:p>
    <w:p w14:paraId="098EE77E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C47101">
        <w:rPr>
          <w:rFonts w:ascii="Times New Roman" w:eastAsia="Times New Roman" w:hAnsi="Times New Roman" w:cs="Times New Roman"/>
          <w:i/>
          <w:iCs/>
          <w:u w:val="single"/>
        </w:rPr>
        <w:t>Implementación en Argentina</w:t>
      </w:r>
    </w:p>
    <w:p w14:paraId="4A537A68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En Argentina, la Secretaría de Hacienda del Ministerio de Economía ha asumido compromisos para mejorar la transparencia y participación ciudadana, tales como:</w:t>
      </w:r>
    </w:p>
    <w:p w14:paraId="7F8BB301" w14:textId="77777777" w:rsidR="00C47101" w:rsidRPr="00C47101" w:rsidRDefault="00C47101" w:rsidP="00C47101">
      <w:pPr>
        <w:numPr>
          <w:ilvl w:val="0"/>
          <w:numId w:val="14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lastRenderedPageBreak/>
        <w:t>Publicación de Datos Presupuestarios: Se divulga información detallada sobre el uso de recursos públicos para el monitoreo ciudadano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Mergel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2013).</w:t>
      </w:r>
    </w:p>
    <w:p w14:paraId="2D5F3BA7" w14:textId="77777777" w:rsidR="00C47101" w:rsidRPr="00C47101" w:rsidRDefault="00C47101" w:rsidP="00C47101">
      <w:pPr>
        <w:numPr>
          <w:ilvl w:val="0"/>
          <w:numId w:val="14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Consultas Públicas: Se han implementado mecanismos para que los ciudadanos puedan expresar opiniones y sugerencias sobre políticas económicas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Bertot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 xml:space="preserve">, Jaeger, &amp; 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Grimes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2010).</w:t>
      </w:r>
    </w:p>
    <w:p w14:paraId="39804D1C" w14:textId="77777777" w:rsidR="00C47101" w:rsidRPr="00C47101" w:rsidRDefault="00C47101" w:rsidP="00C47101">
      <w:pPr>
        <w:numPr>
          <w:ilvl w:val="0"/>
          <w:numId w:val="14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Mecanismos de Retroalimentación: Canales para responder consultas y propuestas ciudadanas, fomentando una mayor interacción entre el gobierno y la sociedad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Oslak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2021).</w:t>
      </w:r>
    </w:p>
    <w:p w14:paraId="0A1B040A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 xml:space="preserve">Estos esfuerzos buscan alinear la transparencia y rendición de cuentas con los principios de la OGP (OGP, 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n.d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.).</w:t>
      </w:r>
    </w:p>
    <w:p w14:paraId="4976B771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C47101">
        <w:rPr>
          <w:rFonts w:ascii="Times New Roman" w:eastAsia="Times New Roman" w:hAnsi="Times New Roman" w:cs="Times New Roman"/>
          <w:i/>
          <w:iCs/>
          <w:u w:val="single"/>
        </w:rPr>
        <w:t>Ejemplos Internacionales</w:t>
      </w:r>
    </w:p>
    <w:p w14:paraId="6A6852A6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En otros países, se han implementado iniciativas similares con resultados diversos:</w:t>
      </w:r>
    </w:p>
    <w:p w14:paraId="3F379A06" w14:textId="77777777" w:rsidR="00C47101" w:rsidRPr="00C47101" w:rsidRDefault="00C47101" w:rsidP="00C47101">
      <w:pPr>
        <w:numPr>
          <w:ilvl w:val="0"/>
          <w:numId w:val="15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  <w:u w:val="single"/>
        </w:rPr>
        <w:t>Estonia</w:t>
      </w:r>
      <w:r w:rsidRPr="00C47101">
        <w:rPr>
          <w:rFonts w:ascii="Times New Roman" w:eastAsia="Times New Roman" w:hAnsi="Times New Roman" w:cs="Times New Roman"/>
          <w:bCs/>
        </w:rPr>
        <w:t>: Líder en la transformación digital del sector público, con un enfoque en la e-Administración y acceso en línea a servicios gubernamentales (OECD, 2016).</w:t>
      </w:r>
    </w:p>
    <w:p w14:paraId="531CAB59" w14:textId="77777777" w:rsidR="00C47101" w:rsidRPr="00C47101" w:rsidRDefault="00C47101" w:rsidP="00C47101">
      <w:pPr>
        <w:numPr>
          <w:ilvl w:val="0"/>
          <w:numId w:val="15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  <w:u w:val="single"/>
        </w:rPr>
        <w:t>Canadá</w:t>
      </w:r>
      <w:r w:rsidRPr="00C47101">
        <w:rPr>
          <w:rFonts w:ascii="Times New Roman" w:eastAsia="Times New Roman" w:hAnsi="Times New Roman" w:cs="Times New Roman"/>
          <w:bCs/>
        </w:rPr>
        <w:t>: Portales de datos abiertos y mecanismos de participación ciudadana permiten a los ciudadanos acceder a información sobre gasto público y políticas gubernamentales (Hood, 2011).</w:t>
      </w:r>
    </w:p>
    <w:p w14:paraId="0DE66700" w14:textId="77777777" w:rsidR="00C47101" w:rsidRPr="00C47101" w:rsidRDefault="00C47101" w:rsidP="00C47101">
      <w:pPr>
        <w:numPr>
          <w:ilvl w:val="0"/>
          <w:numId w:val="15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  <w:u w:val="single"/>
        </w:rPr>
        <w:t>Chile</w:t>
      </w:r>
      <w:r w:rsidRPr="00C47101">
        <w:rPr>
          <w:rFonts w:ascii="Times New Roman" w:eastAsia="Times New Roman" w:hAnsi="Times New Roman" w:cs="Times New Roman"/>
          <w:bCs/>
        </w:rPr>
        <w:t>: Plataformas digitales facilitan la participación ciudadana en proyectos de ley y políticas públicas, y herramientas para la supervisión del gasto público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Ubaldi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2013).</w:t>
      </w:r>
    </w:p>
    <w:p w14:paraId="5B0A3387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t>Situación en la Provincia de Córdoba</w:t>
      </w:r>
    </w:p>
    <w:p w14:paraId="3167BBA7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En Córdoba, la información financiera del sector público está en una etapa de transformación digital. La provincia ha avanzado en la creación y actualización de portales de datos abiertos, como el portal del Ciudadano en Presupuesto Abierto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Mergel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2013). Sin embargo, la complejidad técnica de los datos financieros puede dificultar su interpretación por parte del público. Es necesario mejorar la interfaz y proporcionar capacitación para facilitar la comprensión de estos datos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Oslak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2021).</w:t>
      </w:r>
    </w:p>
    <w:p w14:paraId="7396C7F0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t>Capacidad de Decisión y Uso de Recursos</w:t>
      </w:r>
    </w:p>
    <w:p w14:paraId="7A812CF5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lastRenderedPageBreak/>
        <w:t>La transformación digital en el sector público requiere que las entidades contables públicas gestionen y presenten la información financiera de manera efectiva. La capacidad de decisión y el uso de recursos disponibles son cruciales para la eficiencia en la presentación de información financiera. La adopción de herramientas tecnológicas puede automatizar procesos, reducir errores y mejorar la calidad de la información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Bertot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 xml:space="preserve">, Jaeger, &amp; 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Grimes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2010). La delimitación de la entidad contable incluye la administración de presupuestos y la rendición de cuentas a los ciudadanos y proveedores (Peters, 2015). La demanda de información por parte de los usuarios es esencial para la elaboración de informes financieros que satisfagan sus necesidades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Ubaldi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2013).</w:t>
      </w:r>
    </w:p>
    <w:p w14:paraId="48A6AD10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t>Desafíos y Perspectivas Futuras</w:t>
      </w:r>
    </w:p>
    <w:p w14:paraId="3D4A149B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A pesar de los avances, la integración de nuevas tecnologías y la adaptación de prácticas contables requieren inversiones y formación continua. La protección de datos y la ciberseguridad son preocupaciones importantes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Bertot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 xml:space="preserve">, Jaeger, &amp; 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Grimes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2010). Se espera que Córdoba continúe avanzando en la transformación digital, mejorando la interoperabilidad de sistemas financieros, promoviendo la participación ciudadana a través de herramientas digitales y garantizando la accesibilidad de la información financiera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Mergel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2013).</w:t>
      </w:r>
    </w:p>
    <w:p w14:paraId="67B0D78D" w14:textId="77777777" w:rsid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E055752" w14:textId="111181E5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t>El Quinto Plan de Acción Nacional de Gobierno Abierto (2022-2024)</w:t>
      </w:r>
    </w:p>
    <w:p w14:paraId="0DF3DCE7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Este plan busca continuar la apertura de la comunicación entre los gobiernos y la ciudadanía, con siete compromisos clave:</w:t>
      </w:r>
    </w:p>
    <w:p w14:paraId="5F6E43E9" w14:textId="77777777" w:rsidR="00C47101" w:rsidRPr="00C47101" w:rsidRDefault="00C47101" w:rsidP="00C47101">
      <w:pPr>
        <w:numPr>
          <w:ilvl w:val="0"/>
          <w:numId w:val="16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Desinstitucionalización e Inclusión Social de Personas con Padecimientos Mentales.</w:t>
      </w:r>
    </w:p>
    <w:p w14:paraId="2430321D" w14:textId="77777777" w:rsidR="00C47101" w:rsidRPr="00C47101" w:rsidRDefault="00C47101" w:rsidP="00C47101">
      <w:pPr>
        <w:numPr>
          <w:ilvl w:val="0"/>
          <w:numId w:val="16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Participación Pública en Decisiones Ambientales.</w:t>
      </w:r>
    </w:p>
    <w:p w14:paraId="67FF4EA9" w14:textId="77777777" w:rsidR="00C47101" w:rsidRPr="00C47101" w:rsidRDefault="00C47101" w:rsidP="00C47101">
      <w:pPr>
        <w:numPr>
          <w:ilvl w:val="0"/>
          <w:numId w:val="16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Acceso a la Información sobre Prestadores del Sistema de Salud.</w:t>
      </w:r>
    </w:p>
    <w:p w14:paraId="48799837" w14:textId="77777777" w:rsidR="00C47101" w:rsidRPr="00C47101" w:rsidRDefault="00C47101" w:rsidP="00C47101">
      <w:pPr>
        <w:numPr>
          <w:ilvl w:val="0"/>
          <w:numId w:val="16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Participación y Control Ciudadano en la Obra Pública.</w:t>
      </w:r>
    </w:p>
    <w:p w14:paraId="7BD14241" w14:textId="77777777" w:rsidR="00C47101" w:rsidRPr="00C47101" w:rsidRDefault="00C47101" w:rsidP="00C47101">
      <w:pPr>
        <w:numPr>
          <w:ilvl w:val="0"/>
          <w:numId w:val="16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Mujeres en el Sistema Productivo Federal.</w:t>
      </w:r>
    </w:p>
    <w:p w14:paraId="25E7B45F" w14:textId="77777777" w:rsidR="00C47101" w:rsidRPr="00C47101" w:rsidRDefault="00C47101" w:rsidP="00C47101">
      <w:pPr>
        <w:numPr>
          <w:ilvl w:val="0"/>
          <w:numId w:val="16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Programa Federal de Estado Abierto.</w:t>
      </w:r>
    </w:p>
    <w:p w14:paraId="44FF649F" w14:textId="77777777" w:rsidR="00C47101" w:rsidRPr="00C47101" w:rsidRDefault="00C47101" w:rsidP="00C47101">
      <w:pPr>
        <w:numPr>
          <w:ilvl w:val="0"/>
          <w:numId w:val="16"/>
        </w:num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Acceso a la Información y Políticas de Cuidados.</w:t>
      </w:r>
    </w:p>
    <w:p w14:paraId="14C405E0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lastRenderedPageBreak/>
        <w:t xml:space="preserve">Cada compromiso se desarrolla mediante actividades consensuadas, con la capacitación como un componente importante (OGP, 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n.d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.).</w:t>
      </w:r>
    </w:p>
    <w:p w14:paraId="3F221B3F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t>Desafíos en la Comunicación y Capacitación</w:t>
      </w:r>
    </w:p>
    <w:p w14:paraId="1A7C148F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La falta de capacitación adecuada en conceptos básicos de comunicación entre ciudadanos y políticas públicas dificulta la lectura y comprensión de datos. Es crucial que la información se comunique de manera clara y accesible. El Quinto Plan de Acción subraya la importancia de la transparencia y la participación ciudadana, pero estas estrategias requieren evaluación continua y capacitación tanto para funcionarios públicos como para la sociedad civil en la interpretación y uso de datos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Bertot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 xml:space="preserve">, Jaeger, &amp; 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Grimes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2010).</w:t>
      </w:r>
    </w:p>
    <w:p w14:paraId="252D6F2B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t>Educación y Concientización</w:t>
      </w:r>
    </w:p>
    <w:p w14:paraId="5B0E8775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Incorporar educación sobre presupuesto público y herramientas digitales en los primeros niveles de formación es fundamental. Los currículos educativos deben incluir formación sobre la lectura de datos financieros y la comprensión de la gestión del gasto público (Hood, 2011). La formación de docentes a todos los niveles es crucial para preparar a los ciudadanos en la comprensión de datos del sector público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Kettunen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 xml:space="preserve"> &amp; 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Kallio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2019). Aunque la administración financiera del Estado no siempre produce datos concretos, una adecuada organización de la información puede hacerla comprensible para un público más amplio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Linders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2012).</w:t>
      </w:r>
    </w:p>
    <w:p w14:paraId="576F6E3E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t>Reflexiones Finales y Recomendaciones</w:t>
      </w:r>
    </w:p>
    <w:p w14:paraId="68E51916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La innovación en herramientas digitales para la transparencia y rendición de cuentas del sector público es un desafío tanto para el gobierno como para los ciudadanos. Es necesario no solo acceder a la información pública, sino también entenderla adecuadamente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Mergel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2013). Se recomienda incluir estos temas en los currículos educativos, adaptándolos a cada nivel de enseñanza para preparar a los ciudadanos para una participación efectiva (OECD, 2016).</w:t>
      </w:r>
    </w:p>
    <w:p w14:paraId="380055A8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C47101">
        <w:rPr>
          <w:rFonts w:ascii="Times New Roman" w:eastAsia="Times New Roman" w:hAnsi="Times New Roman" w:cs="Times New Roman"/>
          <w:b/>
          <w:bCs/>
        </w:rPr>
        <w:t>Conclusión</w:t>
      </w:r>
    </w:p>
    <w:p w14:paraId="7FE2E0C0" w14:textId="77777777" w:rsidR="00C47101" w:rsidRPr="00C47101" w:rsidRDefault="00C47101" w:rsidP="00C4710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C47101">
        <w:rPr>
          <w:rFonts w:ascii="Times New Roman" w:eastAsia="Times New Roman" w:hAnsi="Times New Roman" w:cs="Times New Roman"/>
          <w:bCs/>
        </w:rPr>
        <w:t>La innovación y transformación digital en el sector público buscan mejorar la rendición de cuentas y la fiabilidad de la información mediante la transparencia, la participación ciudadana y principios éticos. Aunque se han logrado avances, persisten desafíos relacionados con corrupción, conflictos y crisis globales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Oslak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 xml:space="preserve">, 2021). La experiencia de Argentina y otros países demuestra que, a pesar de los impactos positivos de los compromisos, es esencial adaptarse a los desafíos emergentes para fortalecer la gobernanza y la relación entre ciudadanos y gobiernos (Peters, 2015). La transformación digital en Córdoba promete mejorar la transparencia y eficiencia, pero se deben </w:t>
      </w:r>
      <w:r w:rsidRPr="00C47101">
        <w:rPr>
          <w:rFonts w:ascii="Times New Roman" w:eastAsia="Times New Roman" w:hAnsi="Times New Roman" w:cs="Times New Roman"/>
          <w:bCs/>
        </w:rPr>
        <w:lastRenderedPageBreak/>
        <w:t>abordar desafíos y aprovechar oportunidades para fortalecer la rendición de cuentas y la gestión financiera pública (</w:t>
      </w:r>
      <w:proofErr w:type="spellStart"/>
      <w:r w:rsidRPr="00C47101">
        <w:rPr>
          <w:rFonts w:ascii="Times New Roman" w:eastAsia="Times New Roman" w:hAnsi="Times New Roman" w:cs="Times New Roman"/>
          <w:bCs/>
        </w:rPr>
        <w:t>Ubaldi</w:t>
      </w:r>
      <w:proofErr w:type="spellEnd"/>
      <w:r w:rsidRPr="00C47101">
        <w:rPr>
          <w:rFonts w:ascii="Times New Roman" w:eastAsia="Times New Roman" w:hAnsi="Times New Roman" w:cs="Times New Roman"/>
          <w:bCs/>
        </w:rPr>
        <w:t>, 2013).</w:t>
      </w:r>
    </w:p>
    <w:p w14:paraId="1A095C82" w14:textId="77777777" w:rsidR="00C47101" w:rsidRPr="00C47101" w:rsidRDefault="00C47101" w:rsidP="00D65A10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Cs/>
        </w:rPr>
      </w:pPr>
    </w:p>
    <w:p w14:paraId="72B61741" w14:textId="193A65B8" w:rsidR="00025F32" w:rsidRPr="00025F32" w:rsidRDefault="00025F32" w:rsidP="00025F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76623">
        <w:rPr>
          <w:rFonts w:ascii="Times New Roman" w:eastAsia="Times New Roman" w:hAnsi="Times New Roman" w:cs="Times New Roman"/>
          <w:b/>
          <w:bCs/>
          <w:sz w:val="27"/>
          <w:szCs w:val="27"/>
        </w:rPr>
        <w:t>Bibliografía</w:t>
      </w:r>
    </w:p>
    <w:p w14:paraId="48404E32" w14:textId="15E0F8D1" w:rsidR="00025F32" w:rsidRPr="00C149CD" w:rsidRDefault="00025F32" w:rsidP="00025F32">
      <w:pPr>
        <w:spacing w:before="280" w:after="280" w:line="360" w:lineRule="auto"/>
        <w:jc w:val="both"/>
        <w:outlineLvl w:val="3"/>
        <w:rPr>
          <w:rFonts w:ascii="Times New Roman" w:eastAsia="Times New Roman" w:hAnsi="Times New Roman" w:cs="Times New Roman"/>
          <w:lang w:val="en-US"/>
        </w:rPr>
      </w:pPr>
      <w:r w:rsidRPr="00025F32">
        <w:rPr>
          <w:rFonts w:ascii="Times New Roman" w:eastAsia="Times New Roman" w:hAnsi="Times New Roman" w:cs="Times New Roman"/>
          <w:b/>
          <w:bCs/>
        </w:rPr>
        <w:t>Alianza para el Gobierno Abierto (OGP)</w:t>
      </w:r>
      <w:r w:rsidRPr="00025F32">
        <w:rPr>
          <w:rFonts w:ascii="Times New Roman" w:eastAsia="Times New Roman" w:hAnsi="Times New Roman" w:cs="Times New Roman"/>
        </w:rPr>
        <w:t>. (</w:t>
      </w:r>
      <w:proofErr w:type="spellStart"/>
      <w:r w:rsidRPr="00025F32">
        <w:rPr>
          <w:rFonts w:ascii="Times New Roman" w:eastAsia="Times New Roman" w:hAnsi="Times New Roman" w:cs="Times New Roman"/>
        </w:rPr>
        <w:t>n.d</w:t>
      </w:r>
      <w:proofErr w:type="spellEnd"/>
      <w:r w:rsidRPr="00025F32">
        <w:rPr>
          <w:rFonts w:ascii="Times New Roman" w:eastAsia="Times New Roman" w:hAnsi="Times New Roman" w:cs="Times New Roman"/>
        </w:rPr>
        <w:t xml:space="preserve">.). </w:t>
      </w:r>
      <w:r w:rsidRPr="00025F32">
        <w:rPr>
          <w:rFonts w:ascii="Times New Roman" w:eastAsia="Times New Roman" w:hAnsi="Times New Roman" w:cs="Times New Roman"/>
          <w:i/>
          <w:iCs/>
        </w:rPr>
        <w:t>Principios y objetivos de la Alianza para el Gobierno Abierto</w:t>
      </w:r>
      <w:r w:rsidRPr="00025F3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149CD">
        <w:rPr>
          <w:rFonts w:ascii="Times New Roman" w:eastAsia="Times New Roman" w:hAnsi="Times New Roman" w:cs="Times New Roman"/>
          <w:lang w:val="en-US"/>
        </w:rPr>
        <w:t>Recuperado</w:t>
      </w:r>
      <w:proofErr w:type="spellEnd"/>
      <w:r w:rsidRPr="00C149CD">
        <w:rPr>
          <w:rFonts w:ascii="Times New Roman" w:eastAsia="Times New Roman" w:hAnsi="Times New Roman" w:cs="Times New Roman"/>
          <w:lang w:val="en-US"/>
        </w:rPr>
        <w:t xml:space="preserve"> de </w:t>
      </w:r>
      <w:hyperlink r:id="rId8" w:tgtFrame="_new" w:history="1">
        <w:r w:rsidRPr="00C149CD">
          <w:rPr>
            <w:rStyle w:val="Hipervnculo"/>
            <w:rFonts w:ascii="Times New Roman" w:eastAsia="Times New Roman" w:hAnsi="Times New Roman" w:cs="Times New Roman"/>
            <w:lang w:val="en-US"/>
          </w:rPr>
          <w:t>https://www.opengovpartnership.org</w:t>
        </w:r>
      </w:hyperlink>
    </w:p>
    <w:p w14:paraId="6604C18F" w14:textId="77777777" w:rsidR="00025F32" w:rsidRPr="00025F32" w:rsidRDefault="00025F32" w:rsidP="00025F32">
      <w:pPr>
        <w:spacing w:before="280" w:after="280" w:line="360" w:lineRule="auto"/>
        <w:jc w:val="both"/>
        <w:outlineLvl w:val="3"/>
        <w:rPr>
          <w:rFonts w:ascii="Times New Roman" w:eastAsia="Times New Roman" w:hAnsi="Times New Roman" w:cs="Times New Roman"/>
          <w:lang w:val="en-US"/>
        </w:rPr>
      </w:pPr>
      <w:r w:rsidRPr="00C149CD">
        <w:rPr>
          <w:rFonts w:ascii="Times New Roman" w:eastAsia="Times New Roman" w:hAnsi="Times New Roman" w:cs="Times New Roman"/>
          <w:b/>
          <w:bCs/>
          <w:lang w:val="en-US"/>
        </w:rPr>
        <w:t>Bertot, J. C., Jaeger, P. T., &amp; Grimes, J. M. (2010)</w:t>
      </w:r>
      <w:r w:rsidRPr="00C149CD">
        <w:rPr>
          <w:rFonts w:ascii="Times New Roman" w:eastAsia="Times New Roman" w:hAnsi="Times New Roman" w:cs="Times New Roman"/>
          <w:lang w:val="en-US"/>
        </w:rPr>
        <w:t xml:space="preserve">. </w:t>
      </w:r>
      <w:r w:rsidRPr="00025F32">
        <w:rPr>
          <w:rFonts w:ascii="Times New Roman" w:eastAsia="Times New Roman" w:hAnsi="Times New Roman" w:cs="Times New Roman"/>
          <w:lang w:val="en-US"/>
        </w:rPr>
        <w:t xml:space="preserve">Using ICTs to create a culture of transparency: E-Government and social media as openness and transparency tools for government. </w:t>
      </w:r>
      <w:r w:rsidRPr="00025F32">
        <w:rPr>
          <w:rFonts w:ascii="Times New Roman" w:eastAsia="Times New Roman" w:hAnsi="Times New Roman" w:cs="Times New Roman"/>
          <w:i/>
          <w:iCs/>
          <w:lang w:val="en-US"/>
        </w:rPr>
        <w:t>Government Information Quarterly, 27</w:t>
      </w:r>
      <w:r w:rsidRPr="00025F32">
        <w:rPr>
          <w:rFonts w:ascii="Times New Roman" w:eastAsia="Times New Roman" w:hAnsi="Times New Roman" w:cs="Times New Roman"/>
          <w:lang w:val="en-US"/>
        </w:rPr>
        <w:t>(3), 264-271. https://doi.org/10.1016/j.giq.2010.03.001</w:t>
      </w:r>
    </w:p>
    <w:p w14:paraId="5F826C48" w14:textId="77777777" w:rsidR="00025F32" w:rsidRPr="00025F32" w:rsidRDefault="00025F32" w:rsidP="00025F32">
      <w:pPr>
        <w:spacing w:before="280" w:after="280" w:line="360" w:lineRule="auto"/>
        <w:jc w:val="both"/>
        <w:outlineLvl w:val="3"/>
        <w:rPr>
          <w:rFonts w:ascii="Times New Roman" w:eastAsia="Times New Roman" w:hAnsi="Times New Roman" w:cs="Times New Roman"/>
          <w:lang w:val="en-US"/>
        </w:rPr>
      </w:pPr>
      <w:r w:rsidRPr="00025F32">
        <w:rPr>
          <w:rFonts w:ascii="Times New Roman" w:eastAsia="Times New Roman" w:hAnsi="Times New Roman" w:cs="Times New Roman"/>
          <w:b/>
          <w:bCs/>
          <w:lang w:val="en-US"/>
        </w:rPr>
        <w:t>Hood, C. (2011)</w:t>
      </w:r>
      <w:r w:rsidRPr="00025F32">
        <w:rPr>
          <w:rFonts w:ascii="Times New Roman" w:eastAsia="Times New Roman" w:hAnsi="Times New Roman" w:cs="Times New Roman"/>
          <w:lang w:val="en-US"/>
        </w:rPr>
        <w:t xml:space="preserve">. The politics of public sector reform: Theoretical perspectives. </w:t>
      </w:r>
      <w:r w:rsidRPr="00025F32">
        <w:rPr>
          <w:rFonts w:ascii="Times New Roman" w:eastAsia="Times New Roman" w:hAnsi="Times New Roman" w:cs="Times New Roman"/>
          <w:i/>
          <w:iCs/>
          <w:lang w:val="en-US"/>
        </w:rPr>
        <w:t>Public Administration, 89</w:t>
      </w:r>
      <w:r w:rsidRPr="00025F32">
        <w:rPr>
          <w:rFonts w:ascii="Times New Roman" w:eastAsia="Times New Roman" w:hAnsi="Times New Roman" w:cs="Times New Roman"/>
          <w:lang w:val="en-US"/>
        </w:rPr>
        <w:t>(3), 727-749. https://doi.org/10.1111/j.1467-9299.2011.01947.x</w:t>
      </w:r>
    </w:p>
    <w:p w14:paraId="2980DE20" w14:textId="77777777" w:rsidR="00025F32" w:rsidRPr="00025F32" w:rsidRDefault="00025F32" w:rsidP="00025F32">
      <w:pPr>
        <w:spacing w:before="280" w:after="280" w:line="360" w:lineRule="auto"/>
        <w:jc w:val="both"/>
        <w:outlineLvl w:val="3"/>
        <w:rPr>
          <w:rFonts w:ascii="Times New Roman" w:eastAsia="Times New Roman" w:hAnsi="Times New Roman" w:cs="Times New Roman"/>
          <w:lang w:val="en-US"/>
        </w:rPr>
      </w:pPr>
      <w:r w:rsidRPr="00025F32">
        <w:rPr>
          <w:rFonts w:ascii="Times New Roman" w:eastAsia="Times New Roman" w:hAnsi="Times New Roman" w:cs="Times New Roman"/>
          <w:b/>
          <w:bCs/>
          <w:lang w:val="en-US"/>
        </w:rPr>
        <w:t>Kettunen, P., &amp; Kallio, J. (2019</w:t>
      </w:r>
      <w:r w:rsidRPr="00025F32">
        <w:rPr>
          <w:rFonts w:ascii="Times New Roman" w:eastAsia="Times New Roman" w:hAnsi="Times New Roman" w:cs="Times New Roman"/>
          <w:lang w:val="en-US"/>
        </w:rPr>
        <w:t xml:space="preserve">). Digital transformation in public sector organizations: A framework for assessing the role of data and technology. </w:t>
      </w:r>
      <w:r w:rsidRPr="00025F32">
        <w:rPr>
          <w:rFonts w:ascii="Times New Roman" w:eastAsia="Times New Roman" w:hAnsi="Times New Roman" w:cs="Times New Roman"/>
          <w:i/>
          <w:iCs/>
          <w:lang w:val="en-US"/>
        </w:rPr>
        <w:t>Government Information Quarterly, 36</w:t>
      </w:r>
      <w:r w:rsidRPr="00025F32">
        <w:rPr>
          <w:rFonts w:ascii="Times New Roman" w:eastAsia="Times New Roman" w:hAnsi="Times New Roman" w:cs="Times New Roman"/>
          <w:lang w:val="en-US"/>
        </w:rPr>
        <w:t>(2), 257-269. https://doi.org/10.1016/j.giq.2019.01.004</w:t>
      </w:r>
    </w:p>
    <w:p w14:paraId="4FD62E8B" w14:textId="77777777" w:rsidR="00025F32" w:rsidRPr="00C149CD" w:rsidRDefault="00025F32" w:rsidP="00025F32">
      <w:pPr>
        <w:spacing w:before="280" w:after="280" w:line="360" w:lineRule="auto"/>
        <w:jc w:val="both"/>
        <w:outlineLvl w:val="3"/>
        <w:rPr>
          <w:rFonts w:ascii="Times New Roman" w:eastAsia="Times New Roman" w:hAnsi="Times New Roman" w:cs="Times New Roman"/>
          <w:lang w:val="en-US"/>
        </w:rPr>
      </w:pPr>
      <w:r w:rsidRPr="00025F32">
        <w:rPr>
          <w:rFonts w:ascii="Times New Roman" w:eastAsia="Times New Roman" w:hAnsi="Times New Roman" w:cs="Times New Roman"/>
          <w:b/>
          <w:bCs/>
          <w:lang w:val="en-US"/>
        </w:rPr>
        <w:t>Linders, D. (2012).</w:t>
      </w:r>
      <w:r w:rsidRPr="00025F32">
        <w:rPr>
          <w:rFonts w:ascii="Times New Roman" w:eastAsia="Times New Roman" w:hAnsi="Times New Roman" w:cs="Times New Roman"/>
          <w:lang w:val="en-US"/>
        </w:rPr>
        <w:t xml:space="preserve"> From e-Government to open government: A study of the transition. </w:t>
      </w:r>
      <w:r w:rsidRPr="00C149CD">
        <w:rPr>
          <w:rFonts w:ascii="Times New Roman" w:eastAsia="Times New Roman" w:hAnsi="Times New Roman" w:cs="Times New Roman"/>
          <w:i/>
          <w:iCs/>
          <w:lang w:val="en-US"/>
        </w:rPr>
        <w:t>Government Information Quarterly, 29</w:t>
      </w:r>
      <w:r w:rsidRPr="00C149CD">
        <w:rPr>
          <w:rFonts w:ascii="Times New Roman" w:eastAsia="Times New Roman" w:hAnsi="Times New Roman" w:cs="Times New Roman"/>
          <w:lang w:val="en-US"/>
        </w:rPr>
        <w:t>(3), 292-300. https://doi.org/10.1016/j.giq.2012.01.004</w:t>
      </w:r>
    </w:p>
    <w:p w14:paraId="66C457D2" w14:textId="77777777" w:rsidR="00025F32" w:rsidRPr="00025F32" w:rsidRDefault="00025F32" w:rsidP="00025F32">
      <w:pPr>
        <w:spacing w:before="280" w:after="280" w:line="360" w:lineRule="auto"/>
        <w:jc w:val="both"/>
        <w:outlineLvl w:val="3"/>
        <w:rPr>
          <w:rFonts w:ascii="Times New Roman" w:eastAsia="Times New Roman" w:hAnsi="Times New Roman" w:cs="Times New Roman"/>
          <w:lang w:val="en-US"/>
        </w:rPr>
      </w:pPr>
      <w:r w:rsidRPr="00025F32">
        <w:rPr>
          <w:rFonts w:ascii="Times New Roman" w:eastAsia="Times New Roman" w:hAnsi="Times New Roman" w:cs="Times New Roman"/>
          <w:b/>
          <w:bCs/>
          <w:lang w:val="en-US"/>
        </w:rPr>
        <w:t>Mergel, I. (2013).</w:t>
      </w:r>
      <w:r w:rsidRPr="00025F32">
        <w:rPr>
          <w:rFonts w:ascii="Times New Roman" w:eastAsia="Times New Roman" w:hAnsi="Times New Roman" w:cs="Times New Roman"/>
          <w:lang w:val="en-US"/>
        </w:rPr>
        <w:t xml:space="preserve"> Social media adoption and use in federal agencies: A case study approach. </w:t>
      </w:r>
      <w:r w:rsidRPr="00025F32">
        <w:rPr>
          <w:rFonts w:ascii="Times New Roman" w:eastAsia="Times New Roman" w:hAnsi="Times New Roman" w:cs="Times New Roman"/>
          <w:i/>
          <w:iCs/>
          <w:lang w:val="en-US"/>
        </w:rPr>
        <w:t>Journal of Public Administration Research and Theory, 23</w:t>
      </w:r>
      <w:r w:rsidRPr="00025F32">
        <w:rPr>
          <w:rFonts w:ascii="Times New Roman" w:eastAsia="Times New Roman" w:hAnsi="Times New Roman" w:cs="Times New Roman"/>
          <w:lang w:val="en-US"/>
        </w:rPr>
        <w:t>(2), 355-382. https://doi.org/10.1093/jopart/mus027</w:t>
      </w:r>
    </w:p>
    <w:p w14:paraId="1569FE84" w14:textId="77777777" w:rsidR="00025F32" w:rsidRPr="00025F32" w:rsidRDefault="00025F32" w:rsidP="00025F32">
      <w:pPr>
        <w:spacing w:before="280" w:after="280" w:line="360" w:lineRule="auto"/>
        <w:jc w:val="both"/>
        <w:outlineLvl w:val="3"/>
        <w:rPr>
          <w:rFonts w:ascii="Times New Roman" w:eastAsia="Times New Roman" w:hAnsi="Times New Roman" w:cs="Times New Roman"/>
          <w:lang w:val="en-US"/>
        </w:rPr>
      </w:pPr>
      <w:r w:rsidRPr="00025F32">
        <w:rPr>
          <w:rFonts w:ascii="Times New Roman" w:eastAsia="Times New Roman" w:hAnsi="Times New Roman" w:cs="Times New Roman"/>
          <w:b/>
          <w:bCs/>
          <w:lang w:val="en-US"/>
        </w:rPr>
        <w:t>OECD. (2016).</w:t>
      </w:r>
      <w:r w:rsidRPr="00025F32">
        <w:rPr>
          <w:rFonts w:ascii="Times New Roman" w:eastAsia="Times New Roman" w:hAnsi="Times New Roman" w:cs="Times New Roman"/>
          <w:lang w:val="en-US"/>
        </w:rPr>
        <w:t xml:space="preserve"> </w:t>
      </w:r>
      <w:r w:rsidRPr="00025F32">
        <w:rPr>
          <w:rFonts w:ascii="Times New Roman" w:eastAsia="Times New Roman" w:hAnsi="Times New Roman" w:cs="Times New Roman"/>
          <w:i/>
          <w:iCs/>
          <w:lang w:val="en-US"/>
        </w:rPr>
        <w:t>Open government: The global context and the way forward</w:t>
      </w:r>
      <w:r w:rsidRPr="00025F32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 w:rsidRPr="00025F32">
        <w:rPr>
          <w:rFonts w:ascii="Times New Roman" w:eastAsia="Times New Roman" w:hAnsi="Times New Roman" w:cs="Times New Roman"/>
          <w:lang w:val="en-US"/>
        </w:rPr>
        <w:t>Recuperado</w:t>
      </w:r>
      <w:proofErr w:type="spellEnd"/>
      <w:r w:rsidRPr="00025F32">
        <w:rPr>
          <w:rFonts w:ascii="Times New Roman" w:eastAsia="Times New Roman" w:hAnsi="Times New Roman" w:cs="Times New Roman"/>
          <w:lang w:val="en-US"/>
        </w:rPr>
        <w:t xml:space="preserve"> de </w:t>
      </w:r>
      <w:hyperlink r:id="rId9" w:tgtFrame="_new" w:history="1">
        <w:r w:rsidRPr="00025F32">
          <w:rPr>
            <w:rStyle w:val="Hipervnculo"/>
            <w:rFonts w:ascii="Times New Roman" w:eastAsia="Times New Roman" w:hAnsi="Times New Roman" w:cs="Times New Roman"/>
            <w:lang w:val="en-US"/>
          </w:rPr>
          <w:t>https://www.oecd.org</w:t>
        </w:r>
      </w:hyperlink>
    </w:p>
    <w:p w14:paraId="1E55BEA9" w14:textId="77777777" w:rsidR="00025F32" w:rsidRPr="00025F32" w:rsidRDefault="00025F32" w:rsidP="00025F32">
      <w:pPr>
        <w:spacing w:before="280" w:after="280" w:line="360" w:lineRule="auto"/>
        <w:jc w:val="both"/>
        <w:outlineLvl w:val="3"/>
        <w:rPr>
          <w:rFonts w:ascii="Times New Roman" w:eastAsia="Times New Roman" w:hAnsi="Times New Roman" w:cs="Times New Roman"/>
          <w:lang w:val="en-US"/>
        </w:rPr>
      </w:pPr>
      <w:proofErr w:type="spellStart"/>
      <w:r w:rsidRPr="00025F32">
        <w:rPr>
          <w:rFonts w:ascii="Times New Roman" w:eastAsia="Times New Roman" w:hAnsi="Times New Roman" w:cs="Times New Roman"/>
          <w:b/>
          <w:bCs/>
          <w:lang w:val="en-US"/>
        </w:rPr>
        <w:t>Oslak</w:t>
      </w:r>
      <w:proofErr w:type="spellEnd"/>
      <w:r w:rsidRPr="00025F32">
        <w:rPr>
          <w:rFonts w:ascii="Times New Roman" w:eastAsia="Times New Roman" w:hAnsi="Times New Roman" w:cs="Times New Roman"/>
          <w:b/>
          <w:bCs/>
          <w:lang w:val="en-US"/>
        </w:rPr>
        <w:t>, T. (2021).</w:t>
      </w:r>
      <w:r w:rsidRPr="00025F32">
        <w:rPr>
          <w:rFonts w:ascii="Times New Roman" w:eastAsia="Times New Roman" w:hAnsi="Times New Roman" w:cs="Times New Roman"/>
          <w:lang w:val="en-US"/>
        </w:rPr>
        <w:t xml:space="preserve"> Government transparency and accountability: An overview of practices and policies. </w:t>
      </w:r>
      <w:r w:rsidRPr="00025F32">
        <w:rPr>
          <w:rFonts w:ascii="Times New Roman" w:eastAsia="Times New Roman" w:hAnsi="Times New Roman" w:cs="Times New Roman"/>
          <w:i/>
          <w:iCs/>
          <w:lang w:val="en-US"/>
        </w:rPr>
        <w:t>Public Administration Review, 81</w:t>
      </w:r>
      <w:r w:rsidRPr="00025F32">
        <w:rPr>
          <w:rFonts w:ascii="Times New Roman" w:eastAsia="Times New Roman" w:hAnsi="Times New Roman" w:cs="Times New Roman"/>
          <w:lang w:val="en-US"/>
        </w:rPr>
        <w:t>(1), 45-57. https://doi.org/10.1111/puar.13324</w:t>
      </w:r>
    </w:p>
    <w:p w14:paraId="5A800F6B" w14:textId="77777777" w:rsidR="00025F32" w:rsidRPr="00025F32" w:rsidRDefault="00025F32" w:rsidP="00025F32">
      <w:pPr>
        <w:spacing w:before="280" w:after="280" w:line="360" w:lineRule="auto"/>
        <w:jc w:val="both"/>
        <w:outlineLvl w:val="3"/>
        <w:rPr>
          <w:rFonts w:ascii="Times New Roman" w:eastAsia="Times New Roman" w:hAnsi="Times New Roman" w:cs="Times New Roman"/>
          <w:lang w:val="en-US"/>
        </w:rPr>
      </w:pPr>
      <w:r w:rsidRPr="00025F32">
        <w:rPr>
          <w:rFonts w:ascii="Times New Roman" w:eastAsia="Times New Roman" w:hAnsi="Times New Roman" w:cs="Times New Roman"/>
          <w:b/>
          <w:bCs/>
          <w:lang w:val="en-US"/>
        </w:rPr>
        <w:t>Peters, B. G. (2015</w:t>
      </w:r>
      <w:r w:rsidRPr="00025F32">
        <w:rPr>
          <w:rFonts w:ascii="Times New Roman" w:eastAsia="Times New Roman" w:hAnsi="Times New Roman" w:cs="Times New Roman"/>
          <w:lang w:val="en-US"/>
        </w:rPr>
        <w:t xml:space="preserve">). </w:t>
      </w:r>
      <w:r w:rsidRPr="00025F32">
        <w:rPr>
          <w:rFonts w:ascii="Times New Roman" w:eastAsia="Times New Roman" w:hAnsi="Times New Roman" w:cs="Times New Roman"/>
          <w:i/>
          <w:iCs/>
          <w:lang w:val="en-US"/>
        </w:rPr>
        <w:t>The politics of bureaucracy: An introduction to comparative public administration</w:t>
      </w:r>
      <w:r w:rsidRPr="00025F32">
        <w:rPr>
          <w:rFonts w:ascii="Times New Roman" w:eastAsia="Times New Roman" w:hAnsi="Times New Roman" w:cs="Times New Roman"/>
          <w:lang w:val="en-US"/>
        </w:rPr>
        <w:t>. Routledge.</w:t>
      </w:r>
    </w:p>
    <w:p w14:paraId="7DDC5448" w14:textId="77777777" w:rsidR="00025F32" w:rsidRPr="00025F32" w:rsidRDefault="00025F32" w:rsidP="00025F32">
      <w:pPr>
        <w:spacing w:before="280" w:after="280" w:line="360" w:lineRule="auto"/>
        <w:jc w:val="both"/>
        <w:outlineLvl w:val="3"/>
        <w:rPr>
          <w:rFonts w:ascii="Times New Roman" w:eastAsia="Times New Roman" w:hAnsi="Times New Roman" w:cs="Times New Roman"/>
          <w:lang w:val="en-US"/>
        </w:rPr>
      </w:pPr>
      <w:r w:rsidRPr="00025F32">
        <w:rPr>
          <w:rFonts w:ascii="Times New Roman" w:eastAsia="Times New Roman" w:hAnsi="Times New Roman" w:cs="Times New Roman"/>
          <w:b/>
          <w:bCs/>
          <w:lang w:val="en-US"/>
        </w:rPr>
        <w:lastRenderedPageBreak/>
        <w:t>Ubaldi, B. (2013).</w:t>
      </w:r>
      <w:r w:rsidRPr="00025F32">
        <w:rPr>
          <w:rFonts w:ascii="Times New Roman" w:eastAsia="Times New Roman" w:hAnsi="Times New Roman" w:cs="Times New Roman"/>
          <w:lang w:val="en-US"/>
        </w:rPr>
        <w:t xml:space="preserve"> Open government data: Towards empirical evidence on open government data initiatives. </w:t>
      </w:r>
      <w:r w:rsidRPr="00025F32">
        <w:rPr>
          <w:rFonts w:ascii="Times New Roman" w:eastAsia="Times New Roman" w:hAnsi="Times New Roman" w:cs="Times New Roman"/>
          <w:i/>
          <w:iCs/>
          <w:lang w:val="en-US"/>
        </w:rPr>
        <w:t>OECD Working Papers on Public Governance, No. 22</w:t>
      </w:r>
      <w:r w:rsidRPr="00025F32">
        <w:rPr>
          <w:rFonts w:ascii="Times New Roman" w:eastAsia="Times New Roman" w:hAnsi="Times New Roman" w:cs="Times New Roman"/>
          <w:lang w:val="en-US"/>
        </w:rPr>
        <w:t>. OECD Publishing. https://doi.org/10.1787/5k46h1b9c7g0-en</w:t>
      </w:r>
    </w:p>
    <w:p w14:paraId="4333344B" w14:textId="77777777" w:rsidR="00D65A10" w:rsidRPr="00F32ED0" w:rsidRDefault="00D65A10" w:rsidP="00375C11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lang w:val="en-US"/>
        </w:rPr>
      </w:pPr>
    </w:p>
    <w:sectPr w:rsidR="00D65A10" w:rsidRPr="00F32ED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B51"/>
    <w:multiLevelType w:val="multilevel"/>
    <w:tmpl w:val="B904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B20C0"/>
    <w:multiLevelType w:val="multilevel"/>
    <w:tmpl w:val="3ED4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2149D"/>
    <w:multiLevelType w:val="multilevel"/>
    <w:tmpl w:val="19C610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8593E40"/>
    <w:multiLevelType w:val="multilevel"/>
    <w:tmpl w:val="B176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8C7A5F"/>
    <w:multiLevelType w:val="multilevel"/>
    <w:tmpl w:val="ACBE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15258F"/>
    <w:multiLevelType w:val="multilevel"/>
    <w:tmpl w:val="22FC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C13843"/>
    <w:multiLevelType w:val="multilevel"/>
    <w:tmpl w:val="48F07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13F7BB8"/>
    <w:multiLevelType w:val="multilevel"/>
    <w:tmpl w:val="34F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676BF0"/>
    <w:multiLevelType w:val="multilevel"/>
    <w:tmpl w:val="4B905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21EBE"/>
    <w:multiLevelType w:val="multilevel"/>
    <w:tmpl w:val="1C9C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FA4709"/>
    <w:multiLevelType w:val="multilevel"/>
    <w:tmpl w:val="CDB2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971DD"/>
    <w:multiLevelType w:val="multilevel"/>
    <w:tmpl w:val="06CE5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FD799B"/>
    <w:multiLevelType w:val="multilevel"/>
    <w:tmpl w:val="0AF0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B237B"/>
    <w:multiLevelType w:val="multilevel"/>
    <w:tmpl w:val="D31C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464C7D"/>
    <w:multiLevelType w:val="hybridMultilevel"/>
    <w:tmpl w:val="67AA57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639FB"/>
    <w:multiLevelType w:val="multilevel"/>
    <w:tmpl w:val="0CAE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6647420">
    <w:abstractNumId w:val="2"/>
  </w:num>
  <w:num w:numId="2" w16cid:durableId="1923179140">
    <w:abstractNumId w:val="6"/>
  </w:num>
  <w:num w:numId="3" w16cid:durableId="106582540">
    <w:abstractNumId w:val="8"/>
  </w:num>
  <w:num w:numId="4" w16cid:durableId="1397313901">
    <w:abstractNumId w:val="3"/>
  </w:num>
  <w:num w:numId="5" w16cid:durableId="320306160">
    <w:abstractNumId w:val="9"/>
  </w:num>
  <w:num w:numId="6" w16cid:durableId="162430663">
    <w:abstractNumId w:val="10"/>
  </w:num>
  <w:num w:numId="7" w16cid:durableId="1774781225">
    <w:abstractNumId w:val="14"/>
  </w:num>
  <w:num w:numId="8" w16cid:durableId="1727295986">
    <w:abstractNumId w:val="5"/>
  </w:num>
  <w:num w:numId="9" w16cid:durableId="2059938203">
    <w:abstractNumId w:val="13"/>
  </w:num>
  <w:num w:numId="10" w16cid:durableId="1344942107">
    <w:abstractNumId w:val="11"/>
  </w:num>
  <w:num w:numId="11" w16cid:durableId="709570275">
    <w:abstractNumId w:val="4"/>
  </w:num>
  <w:num w:numId="12" w16cid:durableId="1827087244">
    <w:abstractNumId w:val="0"/>
  </w:num>
  <w:num w:numId="13" w16cid:durableId="577131058">
    <w:abstractNumId w:val="7"/>
  </w:num>
  <w:num w:numId="14" w16cid:durableId="1692611920">
    <w:abstractNumId w:val="1"/>
  </w:num>
  <w:num w:numId="15" w16cid:durableId="1026055116">
    <w:abstractNumId w:val="15"/>
  </w:num>
  <w:num w:numId="16" w16cid:durableId="237447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361"/>
    <w:rsid w:val="00025F32"/>
    <w:rsid w:val="000F4D99"/>
    <w:rsid w:val="00276623"/>
    <w:rsid w:val="00314869"/>
    <w:rsid w:val="00375C11"/>
    <w:rsid w:val="004A2AA2"/>
    <w:rsid w:val="0053457A"/>
    <w:rsid w:val="00654361"/>
    <w:rsid w:val="00694B65"/>
    <w:rsid w:val="00707D52"/>
    <w:rsid w:val="00710796"/>
    <w:rsid w:val="0073452E"/>
    <w:rsid w:val="007934E2"/>
    <w:rsid w:val="00935AF4"/>
    <w:rsid w:val="00A11BCC"/>
    <w:rsid w:val="00AA59F3"/>
    <w:rsid w:val="00B30B16"/>
    <w:rsid w:val="00B83C7A"/>
    <w:rsid w:val="00C149CD"/>
    <w:rsid w:val="00C47101"/>
    <w:rsid w:val="00C577AA"/>
    <w:rsid w:val="00C93C22"/>
    <w:rsid w:val="00C9624E"/>
    <w:rsid w:val="00CC1E43"/>
    <w:rsid w:val="00D65A10"/>
    <w:rsid w:val="00D672C8"/>
    <w:rsid w:val="00DF656E"/>
    <w:rsid w:val="00F32ED0"/>
    <w:rsid w:val="00FC599F"/>
    <w:rsid w:val="00FD3EBC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D5B7"/>
  <w15:docId w15:val="{C5D57CE6-136B-4E2A-86FF-94FB70B8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C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0794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3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94B6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C599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5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govpartnership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oecd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ICuuvLeiL9LM5JjpbffbOpl7A==">CgMxLjA4AHIhMVc0N09reUdjbzgxaW1kVEk4bkNJLVI0SUNQVXA3d3Qx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AC49DC-BD0F-4BF3-8D69-4ED74D46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2043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SANABRIA VERONICA RAQUEL</dc:creator>
  <cp:lastModifiedBy>Maria del Carmen Suarez</cp:lastModifiedBy>
  <cp:revision>2</cp:revision>
  <dcterms:created xsi:type="dcterms:W3CDTF">2024-09-23T15:21:00Z</dcterms:created>
  <dcterms:modified xsi:type="dcterms:W3CDTF">2024-09-23T15:21:00Z</dcterms:modified>
</cp:coreProperties>
</file>