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A27E0" w14:textId="77777777" w:rsidR="00FB1E6A" w:rsidRPr="000B71BC" w:rsidRDefault="00201532" w:rsidP="000B71BC">
      <w:pPr>
        <w:ind w:firstLine="708"/>
        <w:jc w:val="center"/>
        <w:rPr>
          <w:rFonts w:ascii="Times New Roman" w:hAnsi="Times New Roman" w:cs="Times New Roman"/>
          <w:b/>
        </w:rPr>
      </w:pPr>
      <w:r w:rsidRPr="000B71BC">
        <w:rPr>
          <w:rFonts w:ascii="Times New Roman" w:hAnsi="Times New Roman" w:cs="Times New Roman"/>
          <w:b/>
        </w:rPr>
        <w:t xml:space="preserve">INCIDENCIA DE LAS NORMAS INTERNACIONALES EN LA </w:t>
      </w:r>
      <w:r w:rsidR="00B96556" w:rsidRPr="000B71BC">
        <w:rPr>
          <w:rFonts w:ascii="Times New Roman" w:hAnsi="Times New Roman" w:cs="Times New Roman"/>
          <w:b/>
        </w:rPr>
        <w:tab/>
      </w:r>
      <w:r w:rsidR="00B96556" w:rsidRPr="000B71BC">
        <w:rPr>
          <w:rFonts w:ascii="Times New Roman" w:hAnsi="Times New Roman" w:cs="Times New Roman"/>
          <w:b/>
        </w:rPr>
        <w:tab/>
      </w:r>
      <w:r w:rsidRPr="000B71BC">
        <w:rPr>
          <w:rFonts w:ascii="Times New Roman" w:hAnsi="Times New Roman" w:cs="Times New Roman"/>
          <w:b/>
        </w:rPr>
        <w:t xml:space="preserve">CALIDAD DE LA INFORMACIÓN FINANCIERA DE LAS EMPRESAS </w:t>
      </w:r>
      <w:r w:rsidR="00B96556" w:rsidRPr="000B71BC">
        <w:rPr>
          <w:rFonts w:ascii="Times New Roman" w:hAnsi="Times New Roman" w:cs="Times New Roman"/>
          <w:b/>
        </w:rPr>
        <w:tab/>
      </w:r>
      <w:r w:rsidR="00B96556" w:rsidRPr="000B71BC">
        <w:rPr>
          <w:rFonts w:ascii="Times New Roman" w:hAnsi="Times New Roman" w:cs="Times New Roman"/>
          <w:b/>
        </w:rPr>
        <w:tab/>
      </w:r>
      <w:r w:rsidRPr="000B71BC">
        <w:rPr>
          <w:rFonts w:ascii="Times New Roman" w:hAnsi="Times New Roman" w:cs="Times New Roman"/>
          <w:b/>
        </w:rPr>
        <w:t>COTIZANTES</w:t>
      </w:r>
      <w:r w:rsidR="00B96556" w:rsidRPr="000B71BC">
        <w:rPr>
          <w:rFonts w:ascii="Times New Roman" w:hAnsi="Times New Roman" w:cs="Times New Roman"/>
          <w:b/>
        </w:rPr>
        <w:t xml:space="preserve"> EN EL MERCADO DE CAPITALES ARGENTINO</w:t>
      </w:r>
    </w:p>
    <w:p w14:paraId="3B789ED5" w14:textId="77777777" w:rsidR="00201532" w:rsidRPr="000B71BC" w:rsidRDefault="00201532" w:rsidP="000B71BC">
      <w:pPr>
        <w:spacing w:line="360" w:lineRule="auto"/>
        <w:jc w:val="both"/>
        <w:rPr>
          <w:rFonts w:ascii="Times New Roman" w:eastAsia="Times New Roman" w:hAnsi="Times New Roman" w:cs="Times New Roman"/>
          <w:b/>
        </w:rPr>
      </w:pPr>
      <w:r w:rsidRPr="000B71BC">
        <w:rPr>
          <w:rFonts w:ascii="Times New Roman" w:eastAsia="Times New Roman" w:hAnsi="Times New Roman" w:cs="Times New Roman"/>
          <w:b/>
        </w:rPr>
        <w:t xml:space="preserve">Autores: </w:t>
      </w:r>
    </w:p>
    <w:p w14:paraId="1D721EC8" w14:textId="77777777" w:rsidR="00201532" w:rsidRPr="000B71BC" w:rsidRDefault="00201532" w:rsidP="000B71BC">
      <w:pPr>
        <w:pStyle w:val="NormalWeb"/>
        <w:spacing w:before="0" w:beforeAutospacing="0" w:after="160" w:afterAutospacing="0" w:line="360" w:lineRule="auto"/>
        <w:jc w:val="both"/>
        <w:rPr>
          <w:sz w:val="22"/>
          <w:szCs w:val="22"/>
          <w:lang w:val="es-ES"/>
        </w:rPr>
      </w:pPr>
      <w:r w:rsidRPr="000B71BC">
        <w:rPr>
          <w:color w:val="000000"/>
          <w:sz w:val="22"/>
          <w:szCs w:val="22"/>
          <w:lang w:val="es-ES"/>
        </w:rPr>
        <w:t xml:space="preserve">Miazzo, Cristián E. Facultad de Ciencias Económicas. Universidad Nacional de Río Cuarto. Ruta 36 km 601. Río Cuarto. </w:t>
      </w:r>
      <w:hyperlink r:id="rId5" w:history="1">
        <w:r w:rsidRPr="000B71BC">
          <w:rPr>
            <w:rStyle w:val="Hipervnculo"/>
            <w:rFonts w:eastAsia="Arial"/>
            <w:color w:val="0563C1"/>
            <w:sz w:val="22"/>
            <w:szCs w:val="22"/>
            <w:lang w:val="es-ES"/>
          </w:rPr>
          <w:t>cmiazzo@fce.unrc.edu.ar</w:t>
        </w:r>
      </w:hyperlink>
    </w:p>
    <w:p w14:paraId="3E13AA7C" w14:textId="77777777" w:rsidR="00201532" w:rsidRPr="000B71BC" w:rsidRDefault="00201532" w:rsidP="000B71BC">
      <w:pPr>
        <w:pStyle w:val="NormalWeb"/>
        <w:spacing w:before="0" w:beforeAutospacing="0" w:after="160" w:afterAutospacing="0" w:line="360" w:lineRule="auto"/>
        <w:jc w:val="both"/>
        <w:rPr>
          <w:sz w:val="22"/>
          <w:szCs w:val="22"/>
          <w:lang w:val="es-ES"/>
        </w:rPr>
      </w:pPr>
      <w:proofErr w:type="spellStart"/>
      <w:r w:rsidRPr="000B71BC">
        <w:rPr>
          <w:color w:val="000000"/>
          <w:sz w:val="22"/>
          <w:szCs w:val="22"/>
          <w:lang w:val="es-ES"/>
        </w:rPr>
        <w:t>Bernardi</w:t>
      </w:r>
      <w:proofErr w:type="spellEnd"/>
      <w:r w:rsidRPr="000B71BC">
        <w:rPr>
          <w:color w:val="000000"/>
          <w:sz w:val="22"/>
          <w:szCs w:val="22"/>
          <w:lang w:val="es-ES"/>
        </w:rPr>
        <w:t xml:space="preserve">, Andrea S. Facultad de Ciencias Económicas. Universidad Nacional de Río Cuarto. Ruta 36 km 601. Río Cuarto. </w:t>
      </w:r>
      <w:hyperlink r:id="rId6" w:history="1">
        <w:r w:rsidRPr="000B71BC">
          <w:rPr>
            <w:rStyle w:val="Hipervnculo"/>
            <w:rFonts w:eastAsia="Arial"/>
            <w:color w:val="0563C1"/>
            <w:sz w:val="22"/>
            <w:szCs w:val="22"/>
            <w:lang w:val="es-ES"/>
          </w:rPr>
          <w:t>abernardi@fce.unrc.edu.ar</w:t>
        </w:r>
      </w:hyperlink>
    </w:p>
    <w:p w14:paraId="138029FF" w14:textId="77777777" w:rsidR="00201532" w:rsidRPr="000B71BC" w:rsidRDefault="00201532" w:rsidP="000B71BC">
      <w:pPr>
        <w:pStyle w:val="NormalWeb"/>
        <w:spacing w:before="0" w:beforeAutospacing="0" w:after="160" w:afterAutospacing="0" w:line="360" w:lineRule="auto"/>
        <w:jc w:val="both"/>
        <w:rPr>
          <w:sz w:val="22"/>
          <w:szCs w:val="22"/>
          <w:lang w:val="es-ES"/>
        </w:rPr>
      </w:pPr>
      <w:r w:rsidRPr="000B71BC">
        <w:rPr>
          <w:color w:val="000000"/>
          <w:sz w:val="22"/>
          <w:szCs w:val="22"/>
          <w:lang w:val="es-ES"/>
        </w:rPr>
        <w:t>Clerici, Yamila</w:t>
      </w:r>
      <w:r w:rsidR="000C1D8E" w:rsidRPr="000B71BC">
        <w:rPr>
          <w:color w:val="000000"/>
          <w:sz w:val="22"/>
          <w:szCs w:val="22"/>
          <w:lang w:val="es-ES"/>
        </w:rPr>
        <w:t xml:space="preserve"> A</w:t>
      </w:r>
      <w:r w:rsidRPr="000B71BC">
        <w:rPr>
          <w:color w:val="000000"/>
          <w:sz w:val="22"/>
          <w:szCs w:val="22"/>
          <w:lang w:val="es-ES"/>
        </w:rPr>
        <w:t xml:space="preserve">. Facultad de Ciencias Económicas. Universidad Nacional de Río Cuarto. Ruta 36 km 601. Río Cuarto. </w:t>
      </w:r>
      <w:hyperlink r:id="rId7" w:history="1">
        <w:r w:rsidRPr="000B71BC">
          <w:rPr>
            <w:rStyle w:val="Hipervnculo"/>
            <w:rFonts w:eastAsia="Arial"/>
            <w:color w:val="0563C1"/>
            <w:sz w:val="22"/>
            <w:szCs w:val="22"/>
            <w:lang w:val="es-ES"/>
          </w:rPr>
          <w:t>yclerici@fce.unrc.edu.ar</w:t>
        </w:r>
      </w:hyperlink>
    </w:p>
    <w:p w14:paraId="36D7D209" w14:textId="77777777" w:rsidR="00201532" w:rsidRPr="000B71BC" w:rsidRDefault="000C1D8E" w:rsidP="000B71BC">
      <w:pPr>
        <w:spacing w:line="360" w:lineRule="auto"/>
        <w:jc w:val="both"/>
        <w:rPr>
          <w:rFonts w:ascii="Times New Roman" w:hAnsi="Times New Roman" w:cs="Times New Roman"/>
          <w:color w:val="000000"/>
          <w:lang w:val="es-ES"/>
        </w:rPr>
      </w:pPr>
      <w:r w:rsidRPr="000B71BC">
        <w:rPr>
          <w:rFonts w:ascii="Times New Roman" w:eastAsia="Times New Roman" w:hAnsi="Times New Roman" w:cs="Times New Roman"/>
        </w:rPr>
        <w:t>Fortuna, Darío M</w:t>
      </w:r>
      <w:r w:rsidR="00201532" w:rsidRPr="000B71BC">
        <w:rPr>
          <w:rFonts w:ascii="Times New Roman" w:eastAsia="Times New Roman" w:hAnsi="Times New Roman" w:cs="Times New Roman"/>
          <w:b/>
        </w:rPr>
        <w:t xml:space="preserve">. </w:t>
      </w:r>
      <w:r w:rsidR="00201532" w:rsidRPr="000B71BC">
        <w:rPr>
          <w:rFonts w:ascii="Times New Roman" w:hAnsi="Times New Roman" w:cs="Times New Roman"/>
          <w:color w:val="000000"/>
          <w:lang w:val="es-ES"/>
        </w:rPr>
        <w:t xml:space="preserve">Facultad de Ciencias Económicas. Universidad Nacional de Río Cuarto. Ruta 36 km 601. Río Cuarto. </w:t>
      </w:r>
      <w:hyperlink r:id="rId8" w:history="1">
        <w:r w:rsidR="00201532" w:rsidRPr="000B71BC">
          <w:rPr>
            <w:rStyle w:val="Hipervnculo"/>
            <w:rFonts w:ascii="Times New Roman" w:hAnsi="Times New Roman" w:cs="Times New Roman"/>
            <w:lang w:val="es-ES"/>
          </w:rPr>
          <w:t>dfortuna@fce.unrc.edu.ar</w:t>
        </w:r>
      </w:hyperlink>
    </w:p>
    <w:p w14:paraId="4CCD1FD9" w14:textId="77777777" w:rsidR="00051C9B" w:rsidRPr="000B71BC" w:rsidRDefault="00201532" w:rsidP="000B71BC">
      <w:pPr>
        <w:spacing w:line="360" w:lineRule="auto"/>
        <w:jc w:val="both"/>
        <w:rPr>
          <w:rFonts w:ascii="Times New Roman" w:eastAsia="Times New Roman" w:hAnsi="Times New Roman" w:cs="Times New Roman"/>
          <w:b/>
        </w:rPr>
      </w:pPr>
      <w:r w:rsidRPr="000B71BC">
        <w:rPr>
          <w:rFonts w:ascii="Times New Roman" w:eastAsia="Times New Roman" w:hAnsi="Times New Roman" w:cs="Times New Roman"/>
          <w:b/>
        </w:rPr>
        <w:t xml:space="preserve">Palabras claves: </w:t>
      </w:r>
    </w:p>
    <w:p w14:paraId="1D8BB562" w14:textId="6F9BF32E" w:rsidR="00201532" w:rsidRPr="000B71BC" w:rsidRDefault="00051C9B" w:rsidP="000B71BC">
      <w:pPr>
        <w:spacing w:line="360" w:lineRule="auto"/>
        <w:jc w:val="both"/>
        <w:rPr>
          <w:rFonts w:ascii="Times New Roman" w:eastAsia="Times New Roman" w:hAnsi="Times New Roman" w:cs="Times New Roman"/>
          <w:b/>
        </w:rPr>
      </w:pPr>
      <w:r w:rsidRPr="000B71BC">
        <w:rPr>
          <w:rFonts w:ascii="Times New Roman" w:hAnsi="Times New Roman" w:cs="Times New Roman"/>
        </w:rPr>
        <w:t xml:space="preserve">Calidad de la Información - </w:t>
      </w:r>
      <w:r w:rsidR="00201532" w:rsidRPr="000B71BC">
        <w:rPr>
          <w:rFonts w:ascii="Times New Roman" w:hAnsi="Times New Roman" w:cs="Times New Roman"/>
        </w:rPr>
        <w:t>Relevancia Valorativa</w:t>
      </w:r>
      <w:r w:rsidRPr="000B71BC">
        <w:rPr>
          <w:rFonts w:ascii="Times New Roman" w:hAnsi="Times New Roman" w:cs="Times New Roman"/>
        </w:rPr>
        <w:t xml:space="preserve"> -</w:t>
      </w:r>
      <w:r w:rsidR="00201532" w:rsidRPr="000B71BC">
        <w:rPr>
          <w:rFonts w:ascii="Times New Roman" w:hAnsi="Times New Roman" w:cs="Times New Roman"/>
        </w:rPr>
        <w:t xml:space="preserve"> Normas Internacionales de Información Financiera</w:t>
      </w:r>
    </w:p>
    <w:p w14:paraId="13BA2714" w14:textId="77777777" w:rsidR="00201532" w:rsidRPr="000B71BC" w:rsidRDefault="00B96556" w:rsidP="000B71BC">
      <w:pPr>
        <w:spacing w:line="360" w:lineRule="auto"/>
        <w:jc w:val="both"/>
        <w:rPr>
          <w:rFonts w:ascii="Times New Roman" w:eastAsia="Times New Roman" w:hAnsi="Times New Roman" w:cs="Times New Roman"/>
          <w:b/>
        </w:rPr>
      </w:pPr>
      <w:r w:rsidRPr="000B71BC">
        <w:rPr>
          <w:rFonts w:ascii="Times New Roman" w:eastAsia="Times New Roman" w:hAnsi="Times New Roman" w:cs="Times New Roman"/>
          <w:b/>
        </w:rPr>
        <w:t xml:space="preserve">Resumen </w:t>
      </w:r>
    </w:p>
    <w:p w14:paraId="30A70EA1" w14:textId="1F19A735" w:rsidR="003A0697" w:rsidRPr="000B71BC" w:rsidRDefault="003A0697" w:rsidP="000B71BC">
      <w:pPr>
        <w:spacing w:line="360" w:lineRule="auto"/>
        <w:ind w:firstLine="720"/>
        <w:jc w:val="both"/>
        <w:rPr>
          <w:rFonts w:ascii="Times New Roman" w:hAnsi="Times New Roman" w:cs="Times New Roman"/>
        </w:rPr>
      </w:pPr>
      <w:r w:rsidRPr="000B71BC">
        <w:rPr>
          <w:rFonts w:ascii="Times New Roman" w:eastAsia="Times New Roman" w:hAnsi="Times New Roman" w:cs="Times New Roman"/>
        </w:rPr>
        <w:t xml:space="preserve">El proceso de globalización de la economía que se generó en el siglo pasado impulsó la evolución de la contabilidad financiera con la mirada puesta en los mercados de capitales y en la satisfacción de las necesidades informativas de los agentes que en ellos operan. </w:t>
      </w:r>
      <w:r w:rsidRPr="000B71BC">
        <w:rPr>
          <w:rFonts w:ascii="Times New Roman" w:hAnsi="Times New Roman" w:cs="Times New Roman"/>
        </w:rPr>
        <w:t xml:space="preserve">En este contexto, se gesta una nueva preocupación en el ámbito regulador, intermediaros financieros, investigadores, académicos y usuarios: la necesidad de normas contables internacionales que aseguren información financiera de elevada calidad que brinde utilidad para los inversores globales. </w:t>
      </w:r>
    </w:p>
    <w:p w14:paraId="156C015F" w14:textId="3BE6ADC5" w:rsidR="0058702C" w:rsidRPr="000B71BC" w:rsidRDefault="0058702C" w:rsidP="000B71BC">
      <w:pPr>
        <w:spacing w:line="360" w:lineRule="auto"/>
        <w:ind w:firstLine="720"/>
        <w:jc w:val="both"/>
        <w:rPr>
          <w:rFonts w:ascii="Times New Roman" w:hAnsi="Times New Roman" w:cs="Times New Roman"/>
        </w:rPr>
      </w:pPr>
      <w:r w:rsidRPr="000B71BC">
        <w:rPr>
          <w:rFonts w:ascii="Times New Roman" w:hAnsi="Times New Roman" w:cs="Times New Roman"/>
        </w:rPr>
        <w:t>E</w:t>
      </w:r>
      <w:r w:rsidR="00916FD6">
        <w:rPr>
          <w:rFonts w:ascii="Times New Roman" w:hAnsi="Times New Roman" w:cs="Times New Roman"/>
        </w:rPr>
        <w:t>n este contexto</w:t>
      </w:r>
      <w:r w:rsidRPr="000B71BC">
        <w:rPr>
          <w:rFonts w:ascii="Times New Roman" w:hAnsi="Times New Roman" w:cs="Times New Roman"/>
        </w:rPr>
        <w:t xml:space="preserve">, en 1995 el International </w:t>
      </w:r>
      <w:proofErr w:type="spellStart"/>
      <w:r w:rsidRPr="000B71BC">
        <w:rPr>
          <w:rFonts w:ascii="Times New Roman" w:hAnsi="Times New Roman" w:cs="Times New Roman"/>
        </w:rPr>
        <w:t>Organization</w:t>
      </w:r>
      <w:proofErr w:type="spellEnd"/>
      <w:r w:rsidRPr="000B71BC">
        <w:rPr>
          <w:rFonts w:ascii="Times New Roman" w:hAnsi="Times New Roman" w:cs="Times New Roman"/>
        </w:rPr>
        <w:t xml:space="preserve"> of Securities </w:t>
      </w:r>
      <w:proofErr w:type="spellStart"/>
      <w:r w:rsidRPr="000B71BC">
        <w:rPr>
          <w:rFonts w:ascii="Times New Roman" w:hAnsi="Times New Roman" w:cs="Times New Roman"/>
        </w:rPr>
        <w:t>Commissions</w:t>
      </w:r>
      <w:proofErr w:type="spellEnd"/>
      <w:r w:rsidRPr="000B71BC">
        <w:rPr>
          <w:rFonts w:ascii="Times New Roman" w:hAnsi="Times New Roman" w:cs="Times New Roman"/>
        </w:rPr>
        <w:t xml:space="preserve"> -IOSCO- y el International Accounting Standards Committe -IASC- acuerdan que existe una necesidad imperiosa de Normas Internacionales de Contabilidad -NIC- completas y de alta calidad. </w:t>
      </w:r>
    </w:p>
    <w:p w14:paraId="147E5C2C" w14:textId="4DBA7449" w:rsidR="009A1459" w:rsidRPr="000B71BC" w:rsidRDefault="009A1459" w:rsidP="000B71BC">
      <w:pPr>
        <w:spacing w:line="360" w:lineRule="auto"/>
        <w:ind w:firstLine="720"/>
        <w:jc w:val="both"/>
        <w:rPr>
          <w:rFonts w:ascii="Times New Roman" w:hAnsi="Times New Roman" w:cs="Times New Roman"/>
        </w:rPr>
      </w:pPr>
      <w:r w:rsidRPr="000B71BC">
        <w:rPr>
          <w:rFonts w:ascii="Times New Roman" w:hAnsi="Times New Roman" w:cs="Times New Roman"/>
        </w:rPr>
        <w:t>Años después, el IASC cambia su denominación por International Accounting Standards Board -IASB-</w:t>
      </w:r>
      <w:r w:rsidR="00674F25">
        <w:rPr>
          <w:rFonts w:ascii="Times New Roman" w:hAnsi="Times New Roman" w:cs="Times New Roman"/>
        </w:rPr>
        <w:t>; e</w:t>
      </w:r>
      <w:r w:rsidRPr="000B71BC">
        <w:rPr>
          <w:rFonts w:ascii="Times New Roman" w:hAnsi="Times New Roman" w:cs="Times New Roman"/>
        </w:rPr>
        <w:t xml:space="preserve">n su constitución se plasmó la importancia de la calidad de la información financiera al definir como uno de sus objetivos “desarrollar, en el interés público, un conjunto único de normas de información financiera de alta calidad, comprensibles, exigibles y aceptadas a nivel mundial, basadas en principios claramente articulados” </w:t>
      </w:r>
      <w:sdt>
        <w:sdtPr>
          <w:rPr>
            <w:rFonts w:ascii="Times New Roman" w:hAnsi="Times New Roman" w:cs="Times New Roman"/>
          </w:rPr>
          <w:id w:val="-543986907"/>
          <w:citation/>
        </w:sdtPr>
        <w:sdtContent>
          <w:r w:rsidR="001A3BAD" w:rsidRPr="001A3BAD">
            <w:rPr>
              <w:rFonts w:ascii="Times New Roman" w:hAnsi="Times New Roman" w:cs="Times New Roman"/>
            </w:rPr>
            <w:fldChar w:fldCharType="begin"/>
          </w:r>
          <w:r w:rsidR="001A3BAD">
            <w:rPr>
              <w:rFonts w:ascii="Times New Roman" w:hAnsi="Times New Roman" w:cs="Times New Roman"/>
            </w:rPr>
            <w:instrText xml:space="preserve">CITATION Int201 \l 11274 </w:instrText>
          </w:r>
          <w:r w:rsidR="001A3BAD" w:rsidRPr="001A3BAD">
            <w:rPr>
              <w:rFonts w:ascii="Times New Roman" w:hAnsi="Times New Roman" w:cs="Times New Roman"/>
            </w:rPr>
            <w:fldChar w:fldCharType="separate"/>
          </w:r>
          <w:r w:rsidR="00577AE2" w:rsidRPr="00577AE2">
            <w:rPr>
              <w:rFonts w:ascii="Times New Roman" w:hAnsi="Times New Roman" w:cs="Times New Roman"/>
              <w:noProof/>
            </w:rPr>
            <w:t>(International Financial Reporting Standards Foundation, 2020)</w:t>
          </w:r>
          <w:r w:rsidR="001A3BAD" w:rsidRPr="001A3BAD">
            <w:rPr>
              <w:rFonts w:ascii="Times New Roman" w:hAnsi="Times New Roman" w:cs="Times New Roman"/>
            </w:rPr>
            <w:fldChar w:fldCharType="end"/>
          </w:r>
        </w:sdtContent>
      </w:sdt>
      <w:r w:rsidR="004E02D4">
        <w:rPr>
          <w:rFonts w:ascii="Times New Roman" w:hAnsi="Times New Roman" w:cs="Times New Roman"/>
        </w:rPr>
        <w:t>.</w:t>
      </w:r>
      <w:r w:rsidRPr="000B71BC">
        <w:rPr>
          <w:rFonts w:ascii="Times New Roman" w:hAnsi="Times New Roman" w:cs="Times New Roman"/>
        </w:rPr>
        <w:t xml:space="preserve"> Para el IASB las Normas Internacionales de Información </w:t>
      </w:r>
      <w:r w:rsidRPr="000B71BC">
        <w:rPr>
          <w:rFonts w:ascii="Times New Roman" w:hAnsi="Times New Roman" w:cs="Times New Roman"/>
        </w:rPr>
        <w:lastRenderedPageBreak/>
        <w:t>Financiera -NIIF-</w:t>
      </w:r>
      <w:r w:rsidR="00916FD6">
        <w:rPr>
          <w:rFonts w:ascii="Times New Roman" w:hAnsi="Times New Roman" w:cs="Times New Roman"/>
        </w:rPr>
        <w:t>,</w:t>
      </w:r>
      <w:r w:rsidRPr="000B71BC">
        <w:rPr>
          <w:rFonts w:ascii="Times New Roman" w:hAnsi="Times New Roman" w:cs="Times New Roman"/>
        </w:rPr>
        <w:t xml:space="preserve"> desarrolladas para la elaboración de información de alta calidad, transparente y confiable</w:t>
      </w:r>
      <w:r w:rsidR="00916FD6">
        <w:rPr>
          <w:rFonts w:ascii="Times New Roman" w:hAnsi="Times New Roman" w:cs="Times New Roman"/>
        </w:rPr>
        <w:t>,</w:t>
      </w:r>
      <w:r w:rsidRPr="000B71BC">
        <w:rPr>
          <w:rFonts w:ascii="Times New Roman" w:hAnsi="Times New Roman" w:cs="Times New Roman"/>
        </w:rPr>
        <w:t xml:space="preserve"> contribuirán a que los inversionistas de los mercados de capitales mundiales tomen mejores decisiones económicas.</w:t>
      </w:r>
    </w:p>
    <w:p w14:paraId="77BCFB9A" w14:textId="725E6269" w:rsidR="003A0697" w:rsidRPr="000B71BC" w:rsidRDefault="0058702C" w:rsidP="000B71BC">
      <w:pPr>
        <w:spacing w:line="360" w:lineRule="auto"/>
        <w:ind w:firstLine="720"/>
        <w:jc w:val="both"/>
        <w:rPr>
          <w:rFonts w:ascii="Times New Roman" w:hAnsi="Times New Roman" w:cs="Times New Roman"/>
        </w:rPr>
      </w:pPr>
      <w:r w:rsidRPr="000B71BC">
        <w:rPr>
          <w:rFonts w:ascii="Times New Roman" w:hAnsi="Times New Roman" w:cs="Times New Roman"/>
        </w:rPr>
        <w:t xml:space="preserve">En este marco, la calidad de la información financiera elaborada en base a </w:t>
      </w:r>
      <w:r w:rsidR="00E257FD" w:rsidRPr="000B71BC">
        <w:rPr>
          <w:rFonts w:ascii="Times New Roman" w:hAnsi="Times New Roman" w:cs="Times New Roman"/>
        </w:rPr>
        <w:t>los estándares globales</w:t>
      </w:r>
      <w:r w:rsidRPr="000B71BC">
        <w:rPr>
          <w:rFonts w:ascii="Times New Roman" w:hAnsi="Times New Roman" w:cs="Times New Roman"/>
        </w:rPr>
        <w:t xml:space="preserve"> comenzó a ubicarse en el centro de la escena de las investigaciones contables orientadas a los mercados de capitales de todo el planeta.</w:t>
      </w:r>
    </w:p>
    <w:p w14:paraId="34CE4B10" w14:textId="5040F6E2" w:rsidR="00E257FD" w:rsidRPr="000B71BC" w:rsidRDefault="00E257FD" w:rsidP="000B71BC">
      <w:pPr>
        <w:spacing w:line="360" w:lineRule="auto"/>
        <w:ind w:firstLine="720"/>
        <w:jc w:val="both"/>
        <w:rPr>
          <w:rFonts w:ascii="Times New Roman" w:hAnsi="Times New Roman" w:cs="Times New Roman"/>
        </w:rPr>
      </w:pPr>
      <w:r w:rsidRPr="000B71BC">
        <w:rPr>
          <w:rFonts w:ascii="Times New Roman" w:hAnsi="Times New Roman" w:cs="Times New Roman"/>
        </w:rPr>
        <w:t xml:space="preserve">Ahora bien, la calidad de las ganancias es un constructo que requiere de operacionalización empírica. En este sentido, Francis et al. </w:t>
      </w:r>
      <w:sdt>
        <w:sdtPr>
          <w:rPr>
            <w:rFonts w:ascii="Times New Roman" w:hAnsi="Times New Roman" w:cs="Times New Roman"/>
          </w:rPr>
          <w:id w:val="1881197767"/>
          <w:citation/>
        </w:sdtPr>
        <w:sdtContent>
          <w:r w:rsidRPr="000B71BC">
            <w:rPr>
              <w:rFonts w:ascii="Times New Roman" w:hAnsi="Times New Roman" w:cs="Times New Roman"/>
            </w:rPr>
            <w:fldChar w:fldCharType="begin"/>
          </w:r>
          <w:r w:rsidRPr="000B71BC">
            <w:rPr>
              <w:rFonts w:ascii="Times New Roman" w:hAnsi="Times New Roman" w:cs="Times New Roman"/>
            </w:rPr>
            <w:instrText xml:space="preserve">CITATION Fra041 \n  \t  \l 11274 </w:instrText>
          </w:r>
          <w:r w:rsidRPr="000B71BC">
            <w:rPr>
              <w:rFonts w:ascii="Times New Roman" w:hAnsi="Times New Roman" w:cs="Times New Roman"/>
            </w:rPr>
            <w:fldChar w:fldCharType="separate"/>
          </w:r>
          <w:r w:rsidR="00577AE2" w:rsidRPr="00577AE2">
            <w:rPr>
              <w:rFonts w:ascii="Times New Roman" w:hAnsi="Times New Roman" w:cs="Times New Roman"/>
              <w:noProof/>
            </w:rPr>
            <w:t>(2004)</w:t>
          </w:r>
          <w:r w:rsidRPr="000B71BC">
            <w:rPr>
              <w:rFonts w:ascii="Times New Roman" w:hAnsi="Times New Roman" w:cs="Times New Roman"/>
            </w:rPr>
            <w:fldChar w:fldCharType="end"/>
          </w:r>
        </w:sdtContent>
      </w:sdt>
      <w:r w:rsidRPr="000B71BC">
        <w:rPr>
          <w:rFonts w:ascii="Times New Roman" w:hAnsi="Times New Roman" w:cs="Times New Roman"/>
        </w:rPr>
        <w:t xml:space="preserve"> y Thesing &amp; Velte </w:t>
      </w:r>
      <w:sdt>
        <w:sdtPr>
          <w:rPr>
            <w:rFonts w:ascii="Times New Roman" w:hAnsi="Times New Roman" w:cs="Times New Roman"/>
          </w:rPr>
          <w:id w:val="874888143"/>
          <w:citation/>
        </w:sdtPr>
        <w:sdtContent>
          <w:r w:rsidRPr="000B71BC">
            <w:rPr>
              <w:rFonts w:ascii="Times New Roman" w:hAnsi="Times New Roman" w:cs="Times New Roman"/>
            </w:rPr>
            <w:fldChar w:fldCharType="begin"/>
          </w:r>
          <w:r w:rsidRPr="000B71BC">
            <w:rPr>
              <w:rFonts w:ascii="Times New Roman" w:hAnsi="Times New Roman" w:cs="Times New Roman"/>
            </w:rPr>
            <w:instrText xml:space="preserve">CITATION The21 \n  \t  \l 11274 </w:instrText>
          </w:r>
          <w:r w:rsidRPr="000B71BC">
            <w:rPr>
              <w:rFonts w:ascii="Times New Roman" w:hAnsi="Times New Roman" w:cs="Times New Roman"/>
            </w:rPr>
            <w:fldChar w:fldCharType="separate"/>
          </w:r>
          <w:r w:rsidR="00577AE2" w:rsidRPr="00577AE2">
            <w:rPr>
              <w:rFonts w:ascii="Times New Roman" w:hAnsi="Times New Roman" w:cs="Times New Roman"/>
              <w:noProof/>
            </w:rPr>
            <w:t>(2021)</w:t>
          </w:r>
          <w:r w:rsidRPr="000B71BC">
            <w:rPr>
              <w:rFonts w:ascii="Times New Roman" w:hAnsi="Times New Roman" w:cs="Times New Roman"/>
            </w:rPr>
            <w:fldChar w:fldCharType="end"/>
          </w:r>
        </w:sdtContent>
      </w:sdt>
      <w:r w:rsidRPr="000B71BC">
        <w:rPr>
          <w:rFonts w:ascii="Times New Roman" w:hAnsi="Times New Roman" w:cs="Times New Roman"/>
        </w:rPr>
        <w:t xml:space="preserve"> reconocen dos grupos de métricas de calidad de las ganancias, medidas basadas en la contabilidad y medidas basadas en el mercado.</w:t>
      </w:r>
      <w:r w:rsidR="00BF32D1" w:rsidRPr="000B71BC">
        <w:rPr>
          <w:rFonts w:ascii="Times New Roman" w:hAnsi="Times New Roman" w:cs="Times New Roman"/>
        </w:rPr>
        <w:t xml:space="preserve"> </w:t>
      </w:r>
      <w:r w:rsidRPr="000B71BC">
        <w:rPr>
          <w:rFonts w:ascii="Times New Roman" w:hAnsi="Times New Roman" w:cs="Times New Roman"/>
        </w:rPr>
        <w:t xml:space="preserve">Como expresan Francis et al. </w:t>
      </w:r>
      <w:sdt>
        <w:sdtPr>
          <w:rPr>
            <w:rFonts w:ascii="Times New Roman" w:hAnsi="Times New Roman" w:cs="Times New Roman"/>
          </w:rPr>
          <w:id w:val="307287801"/>
          <w:citation/>
        </w:sdtPr>
        <w:sdtContent>
          <w:r w:rsidRPr="000B71BC">
            <w:rPr>
              <w:rFonts w:ascii="Times New Roman" w:hAnsi="Times New Roman" w:cs="Times New Roman"/>
            </w:rPr>
            <w:fldChar w:fldCharType="begin"/>
          </w:r>
          <w:r w:rsidRPr="000B71BC">
            <w:rPr>
              <w:rFonts w:ascii="Times New Roman" w:hAnsi="Times New Roman" w:cs="Times New Roman"/>
            </w:rPr>
            <w:instrText xml:space="preserve">CITATION Fra041 \n  \t  \l 11274 </w:instrText>
          </w:r>
          <w:r w:rsidRPr="000B71BC">
            <w:rPr>
              <w:rFonts w:ascii="Times New Roman" w:hAnsi="Times New Roman" w:cs="Times New Roman"/>
            </w:rPr>
            <w:fldChar w:fldCharType="separate"/>
          </w:r>
          <w:r w:rsidR="00577AE2" w:rsidRPr="00577AE2">
            <w:rPr>
              <w:rFonts w:ascii="Times New Roman" w:hAnsi="Times New Roman" w:cs="Times New Roman"/>
              <w:noProof/>
            </w:rPr>
            <w:t>(2004)</w:t>
          </w:r>
          <w:r w:rsidRPr="000B71BC">
            <w:rPr>
              <w:rFonts w:ascii="Times New Roman" w:hAnsi="Times New Roman" w:cs="Times New Roman"/>
            </w:rPr>
            <w:fldChar w:fldCharType="end"/>
          </w:r>
        </w:sdtContent>
      </w:sdt>
      <w:r w:rsidRPr="000B71BC">
        <w:rPr>
          <w:rFonts w:ascii="Times New Roman" w:hAnsi="Times New Roman" w:cs="Times New Roman"/>
        </w:rPr>
        <w:t xml:space="preserve"> estos dos grupos de medidas o atributos de calidad de las ganancias se caracterizan por “capturar las diferencias en los supuestos subyacentes referidos a la función de las ganancias que, a su vez, se reflejan en las formas en que se miden los atributos” </w:t>
      </w:r>
      <w:sdt>
        <w:sdtPr>
          <w:rPr>
            <w:rFonts w:ascii="Times New Roman" w:hAnsi="Times New Roman" w:cs="Times New Roman"/>
          </w:rPr>
          <w:id w:val="-2028943934"/>
          <w:citation/>
        </w:sdtPr>
        <w:sdtContent>
          <w:r w:rsidRPr="000B71BC">
            <w:rPr>
              <w:rFonts w:ascii="Times New Roman" w:hAnsi="Times New Roman" w:cs="Times New Roman"/>
            </w:rPr>
            <w:fldChar w:fldCharType="begin"/>
          </w:r>
          <w:r w:rsidRPr="000B71BC">
            <w:rPr>
              <w:rFonts w:ascii="Times New Roman" w:hAnsi="Times New Roman" w:cs="Times New Roman"/>
            </w:rPr>
            <w:instrText xml:space="preserve">CITATION Fra041 \p 969 \n  \y  \t  \l 11274 </w:instrText>
          </w:r>
          <w:r w:rsidRPr="000B71BC">
            <w:rPr>
              <w:rFonts w:ascii="Times New Roman" w:hAnsi="Times New Roman" w:cs="Times New Roman"/>
            </w:rPr>
            <w:fldChar w:fldCharType="separate"/>
          </w:r>
          <w:r w:rsidR="00577AE2" w:rsidRPr="00577AE2">
            <w:rPr>
              <w:rFonts w:ascii="Times New Roman" w:hAnsi="Times New Roman" w:cs="Times New Roman"/>
              <w:noProof/>
            </w:rPr>
            <w:t>(p. 969)</w:t>
          </w:r>
          <w:r w:rsidRPr="000B71BC">
            <w:rPr>
              <w:rFonts w:ascii="Times New Roman" w:hAnsi="Times New Roman" w:cs="Times New Roman"/>
            </w:rPr>
            <w:fldChar w:fldCharType="end"/>
          </w:r>
        </w:sdtContent>
      </w:sdt>
      <w:r w:rsidRPr="000B71BC">
        <w:rPr>
          <w:rFonts w:ascii="Times New Roman" w:hAnsi="Times New Roman" w:cs="Times New Roman"/>
        </w:rPr>
        <w:t xml:space="preserve">. </w:t>
      </w:r>
    </w:p>
    <w:p w14:paraId="5A6EF4AD" w14:textId="431AC5A7" w:rsidR="00BF32D1" w:rsidRPr="000B71BC" w:rsidRDefault="00E257FD" w:rsidP="000B71BC">
      <w:pPr>
        <w:shd w:val="clear" w:color="auto" w:fill="FFFFFF"/>
        <w:spacing w:line="360" w:lineRule="auto"/>
        <w:ind w:firstLine="708"/>
        <w:jc w:val="both"/>
        <w:rPr>
          <w:rFonts w:ascii="Times New Roman" w:hAnsi="Times New Roman" w:cs="Times New Roman"/>
        </w:rPr>
      </w:pPr>
      <w:r w:rsidRPr="000B71BC">
        <w:rPr>
          <w:rFonts w:ascii="Times New Roman" w:hAnsi="Times New Roman" w:cs="Times New Roman"/>
        </w:rPr>
        <w:t xml:space="preserve">El segundo grupo de métricas emplea como constructo de referencia para la medición a precios de mercado de los títulos valores o sus rendimientos, para estos constructos “la función de las ganancias es reflejar el ingreso económico representado por el rendimiento de las acciones” </w:t>
      </w:r>
      <w:sdt>
        <w:sdtPr>
          <w:rPr>
            <w:rFonts w:ascii="Times New Roman" w:hAnsi="Times New Roman" w:cs="Times New Roman"/>
          </w:rPr>
          <w:id w:val="-2068871677"/>
          <w:citation/>
        </w:sdtPr>
        <w:sdtContent>
          <w:r w:rsidRPr="000B71BC">
            <w:rPr>
              <w:rFonts w:ascii="Times New Roman" w:hAnsi="Times New Roman" w:cs="Times New Roman"/>
            </w:rPr>
            <w:fldChar w:fldCharType="begin"/>
          </w:r>
          <w:r w:rsidRPr="000B71BC">
            <w:rPr>
              <w:rFonts w:ascii="Times New Roman" w:hAnsi="Times New Roman" w:cs="Times New Roman"/>
            </w:rPr>
            <w:instrText xml:space="preserve">CITATION Fra041 \p 969 \l 11274 </w:instrText>
          </w:r>
          <w:r w:rsidRPr="000B71BC">
            <w:rPr>
              <w:rFonts w:ascii="Times New Roman" w:hAnsi="Times New Roman" w:cs="Times New Roman"/>
            </w:rPr>
            <w:fldChar w:fldCharType="separate"/>
          </w:r>
          <w:r w:rsidR="00577AE2" w:rsidRPr="00577AE2">
            <w:rPr>
              <w:rFonts w:ascii="Times New Roman" w:hAnsi="Times New Roman" w:cs="Times New Roman"/>
              <w:noProof/>
            </w:rPr>
            <w:t>(Francis et al., 2004, p. 969)</w:t>
          </w:r>
          <w:r w:rsidRPr="000B71BC">
            <w:rPr>
              <w:rFonts w:ascii="Times New Roman" w:hAnsi="Times New Roman" w:cs="Times New Roman"/>
            </w:rPr>
            <w:fldChar w:fldCharType="end"/>
          </w:r>
        </w:sdtContent>
      </w:sdt>
      <w:r w:rsidRPr="000B71BC">
        <w:rPr>
          <w:rFonts w:ascii="Times New Roman" w:hAnsi="Times New Roman" w:cs="Times New Roman"/>
        </w:rPr>
        <w:t>.</w:t>
      </w:r>
      <w:r w:rsidR="00BF32D1" w:rsidRPr="000B71BC">
        <w:rPr>
          <w:rFonts w:ascii="Times New Roman" w:hAnsi="Times New Roman" w:cs="Times New Roman"/>
        </w:rPr>
        <w:t xml:space="preserve"> </w:t>
      </w:r>
      <w:r w:rsidRPr="000B71BC">
        <w:rPr>
          <w:rFonts w:ascii="Times New Roman" w:hAnsi="Times New Roman" w:cs="Times New Roman"/>
        </w:rPr>
        <w:t xml:space="preserve">La relevancia para el valor y el conservadurismo, son atributos de calidad de las ganancias que integran esta segunda categoría y su estudio se enmarca en la investigación contable orientada al mercado de capitales. Ahora bien, Clarkson et al. </w:t>
      </w:r>
      <w:sdt>
        <w:sdtPr>
          <w:rPr>
            <w:rFonts w:ascii="Times New Roman" w:hAnsi="Times New Roman" w:cs="Times New Roman"/>
          </w:rPr>
          <w:id w:val="-675261793"/>
          <w:citation/>
        </w:sdtPr>
        <w:sdtContent>
          <w:r w:rsidRPr="000B71BC">
            <w:rPr>
              <w:rFonts w:ascii="Times New Roman" w:hAnsi="Times New Roman" w:cs="Times New Roman"/>
            </w:rPr>
            <w:fldChar w:fldCharType="begin"/>
          </w:r>
          <w:r w:rsidRPr="000B71BC">
            <w:rPr>
              <w:rFonts w:ascii="Times New Roman" w:hAnsi="Times New Roman" w:cs="Times New Roman"/>
            </w:rPr>
            <w:instrText xml:space="preserve">CITATION Cla11 \n  \t  \l 11274 </w:instrText>
          </w:r>
          <w:r w:rsidRPr="000B71BC">
            <w:rPr>
              <w:rFonts w:ascii="Times New Roman" w:hAnsi="Times New Roman" w:cs="Times New Roman"/>
            </w:rPr>
            <w:fldChar w:fldCharType="separate"/>
          </w:r>
          <w:r w:rsidR="00577AE2" w:rsidRPr="00577AE2">
            <w:rPr>
              <w:rFonts w:ascii="Times New Roman" w:hAnsi="Times New Roman" w:cs="Times New Roman"/>
              <w:noProof/>
            </w:rPr>
            <w:t>(2011)</w:t>
          </w:r>
          <w:r w:rsidRPr="000B71BC">
            <w:rPr>
              <w:rFonts w:ascii="Times New Roman" w:hAnsi="Times New Roman" w:cs="Times New Roman"/>
            </w:rPr>
            <w:fldChar w:fldCharType="end"/>
          </w:r>
        </w:sdtContent>
      </w:sdt>
      <w:r w:rsidRPr="000B71BC">
        <w:rPr>
          <w:rFonts w:ascii="Times New Roman" w:hAnsi="Times New Roman" w:cs="Times New Roman"/>
        </w:rPr>
        <w:t xml:space="preserve"> sostienen que la relevancia valorativa “es el ámbito adecuado para buscar el impacto de las NIIF en la calidad de la información financiera dado el papel primordial de la valoración de las acciones en el marco conceptual de las NIIF” </w:t>
      </w:r>
      <w:sdt>
        <w:sdtPr>
          <w:rPr>
            <w:rFonts w:ascii="Times New Roman" w:hAnsi="Times New Roman" w:cs="Times New Roman"/>
          </w:rPr>
          <w:id w:val="-132564742"/>
          <w:citation/>
        </w:sdtPr>
        <w:sdtContent>
          <w:r w:rsidRPr="000B71BC">
            <w:rPr>
              <w:rFonts w:ascii="Times New Roman" w:hAnsi="Times New Roman" w:cs="Times New Roman"/>
            </w:rPr>
            <w:fldChar w:fldCharType="begin"/>
          </w:r>
          <w:r w:rsidRPr="000B71BC">
            <w:rPr>
              <w:rFonts w:ascii="Times New Roman" w:hAnsi="Times New Roman" w:cs="Times New Roman"/>
            </w:rPr>
            <w:instrText xml:space="preserve">CITATION Cla11 \p 2 \n  \y  \t  \l 11274 </w:instrText>
          </w:r>
          <w:r w:rsidRPr="000B71BC">
            <w:rPr>
              <w:rFonts w:ascii="Times New Roman" w:hAnsi="Times New Roman" w:cs="Times New Roman"/>
            </w:rPr>
            <w:fldChar w:fldCharType="separate"/>
          </w:r>
          <w:r w:rsidR="00577AE2" w:rsidRPr="00577AE2">
            <w:rPr>
              <w:rFonts w:ascii="Times New Roman" w:hAnsi="Times New Roman" w:cs="Times New Roman"/>
              <w:noProof/>
            </w:rPr>
            <w:t>(p. 2)</w:t>
          </w:r>
          <w:r w:rsidRPr="000B71BC">
            <w:rPr>
              <w:rFonts w:ascii="Times New Roman" w:hAnsi="Times New Roman" w:cs="Times New Roman"/>
            </w:rPr>
            <w:fldChar w:fldCharType="end"/>
          </w:r>
        </w:sdtContent>
      </w:sdt>
      <w:r w:rsidRPr="000B71BC">
        <w:rPr>
          <w:rFonts w:ascii="Times New Roman" w:hAnsi="Times New Roman" w:cs="Times New Roman"/>
        </w:rPr>
        <w:t>.</w:t>
      </w:r>
    </w:p>
    <w:p w14:paraId="59DE4C43" w14:textId="26192336" w:rsidR="00D33EC9" w:rsidRPr="000B71BC" w:rsidRDefault="00D33EC9" w:rsidP="000B71BC">
      <w:pPr>
        <w:spacing w:line="360" w:lineRule="auto"/>
        <w:ind w:firstLine="709"/>
        <w:jc w:val="both"/>
        <w:rPr>
          <w:rFonts w:ascii="Times New Roman" w:eastAsia="Times New Roman" w:hAnsi="Times New Roman" w:cs="Times New Roman"/>
          <w:lang w:val="es-419"/>
        </w:rPr>
      </w:pPr>
      <w:r w:rsidRPr="000B71BC">
        <w:rPr>
          <w:rFonts w:ascii="Times New Roman" w:eastAsia="Times New Roman" w:hAnsi="Times New Roman" w:cs="Times New Roman"/>
          <w:lang w:val="es-419"/>
        </w:rPr>
        <w:t>En la misma línea, Barth et al. (200</w:t>
      </w:r>
      <w:r w:rsidR="004E02D4">
        <w:rPr>
          <w:rFonts w:ascii="Times New Roman" w:eastAsia="Times New Roman" w:hAnsi="Times New Roman" w:cs="Times New Roman"/>
          <w:lang w:val="es-419"/>
        </w:rPr>
        <w:t>0</w:t>
      </w:r>
      <w:r w:rsidRPr="000B71BC">
        <w:rPr>
          <w:rFonts w:ascii="Times New Roman" w:eastAsia="Times New Roman" w:hAnsi="Times New Roman" w:cs="Times New Roman"/>
          <w:lang w:val="es-419"/>
        </w:rPr>
        <w:t>) consideran que las cifras contables son de mayor calidad si poseen mayor relevancia valorativa basada en el poder explicativo de las ganancias netas y el valor patrimonial por acción en relación a los valores de cotización de las acciones. Evidencia de mayor poder explicativo significa mayor relevancia valorativa y mayor calidad de la información financiera.</w:t>
      </w:r>
    </w:p>
    <w:p w14:paraId="186D42CA" w14:textId="6B98EF94" w:rsidR="00FB1EE3" w:rsidRPr="000B71BC" w:rsidRDefault="00FB1EE3" w:rsidP="000B71BC">
      <w:pPr>
        <w:spacing w:line="360" w:lineRule="auto"/>
        <w:ind w:firstLine="709"/>
        <w:jc w:val="both"/>
        <w:rPr>
          <w:rFonts w:ascii="Times New Roman" w:eastAsia="Times New Roman" w:hAnsi="Times New Roman" w:cs="Times New Roman"/>
          <w:lang w:val="es-419"/>
        </w:rPr>
      </w:pPr>
      <w:r w:rsidRPr="000B71BC">
        <w:rPr>
          <w:rFonts w:ascii="Times New Roman" w:eastAsia="Times New Roman" w:hAnsi="Times New Roman" w:cs="Times New Roman"/>
          <w:lang w:val="es-419"/>
        </w:rPr>
        <w:t xml:space="preserve">En este </w:t>
      </w:r>
      <w:r w:rsidR="00916FD6">
        <w:rPr>
          <w:rFonts w:ascii="Times New Roman" w:eastAsia="Times New Roman" w:hAnsi="Times New Roman" w:cs="Times New Roman"/>
          <w:lang w:val="es-419"/>
        </w:rPr>
        <w:t>marco</w:t>
      </w:r>
      <w:r w:rsidRPr="000B71BC">
        <w:rPr>
          <w:rFonts w:ascii="Times New Roman" w:eastAsia="Times New Roman" w:hAnsi="Times New Roman" w:cs="Times New Roman"/>
          <w:lang w:val="es-419"/>
        </w:rPr>
        <w:t>, en Argentina, en 2009 la Federación Argentina de Consejos Profesionales en Ciencias Económicas -FACPCE- emitió la RT N.º 26</w:t>
      </w:r>
      <w:r w:rsidR="00C813D2">
        <w:rPr>
          <w:rFonts w:ascii="Times New Roman" w:eastAsia="Times New Roman" w:hAnsi="Times New Roman" w:cs="Times New Roman"/>
          <w:lang w:val="es-419"/>
        </w:rPr>
        <w:t>, modificada por la RT N.º 29,</w:t>
      </w:r>
      <w:r w:rsidRPr="000B71BC">
        <w:rPr>
          <w:rFonts w:ascii="Times New Roman" w:eastAsia="Times New Roman" w:hAnsi="Times New Roman" w:cs="Times New Roman"/>
          <w:lang w:val="es-419"/>
        </w:rPr>
        <w:t xml:space="preserve"> </w:t>
      </w:r>
      <w:r w:rsidR="00916FD6">
        <w:rPr>
          <w:rFonts w:ascii="Times New Roman" w:eastAsia="Times New Roman" w:hAnsi="Times New Roman" w:cs="Times New Roman"/>
          <w:lang w:val="es-419"/>
        </w:rPr>
        <w:t>que obliga a</w:t>
      </w:r>
      <w:r w:rsidRPr="000B71BC">
        <w:rPr>
          <w:rFonts w:ascii="Times New Roman" w:eastAsia="Times New Roman" w:hAnsi="Times New Roman" w:cs="Times New Roman"/>
          <w:lang w:val="es-419"/>
        </w:rPr>
        <w:t xml:space="preserve"> las empresas con cotización pública de sus títulos valores o que solicitasen cotización, con excepción de las que apliquen criterios contables de otros organismos de regulación o fiscalización, </w:t>
      </w:r>
      <w:r w:rsidR="00916FD6">
        <w:rPr>
          <w:rFonts w:ascii="Times New Roman" w:eastAsia="Times New Roman" w:hAnsi="Times New Roman" w:cs="Times New Roman"/>
          <w:lang w:val="es-419"/>
        </w:rPr>
        <w:t xml:space="preserve">a que </w:t>
      </w:r>
      <w:r w:rsidRPr="000B71BC">
        <w:rPr>
          <w:rFonts w:ascii="Times New Roman" w:eastAsia="Times New Roman" w:hAnsi="Times New Roman" w:cs="Times New Roman"/>
          <w:lang w:val="es-419"/>
        </w:rPr>
        <w:t>apliquen las NIIF en la preparación de sus estados financieros correspondientes a ejercicios iniciados a partir del 1º de enero de 201</w:t>
      </w:r>
      <w:r w:rsidR="00C813D2">
        <w:rPr>
          <w:rFonts w:ascii="Times New Roman" w:eastAsia="Times New Roman" w:hAnsi="Times New Roman" w:cs="Times New Roman"/>
          <w:lang w:val="es-419"/>
        </w:rPr>
        <w:t>2</w:t>
      </w:r>
      <w:r w:rsidRPr="000B71BC">
        <w:rPr>
          <w:rFonts w:ascii="Times New Roman" w:eastAsia="Times New Roman" w:hAnsi="Times New Roman" w:cs="Times New Roman"/>
          <w:lang w:val="es-419"/>
        </w:rPr>
        <w:t xml:space="preserve"> o sus períodos intermedios.</w:t>
      </w:r>
    </w:p>
    <w:p w14:paraId="4E4EC7B8" w14:textId="54BD62CD" w:rsidR="00270CC0" w:rsidRPr="000B71BC" w:rsidRDefault="00FB1EE3" w:rsidP="000B71BC">
      <w:pPr>
        <w:spacing w:line="360" w:lineRule="auto"/>
        <w:ind w:firstLine="709"/>
        <w:jc w:val="both"/>
        <w:rPr>
          <w:rFonts w:ascii="Times New Roman" w:eastAsia="Times New Roman" w:hAnsi="Times New Roman" w:cs="Times New Roman"/>
        </w:rPr>
      </w:pPr>
      <w:r w:rsidRPr="000B71BC">
        <w:rPr>
          <w:rFonts w:ascii="Times New Roman" w:eastAsia="Times New Roman" w:hAnsi="Times New Roman" w:cs="Times New Roman"/>
          <w:lang w:val="es-419"/>
        </w:rPr>
        <w:lastRenderedPageBreak/>
        <w:t xml:space="preserve">La adopción de las NIIF generó cambios en el set de políticas contables empleadas por las empresas cotizantes. Una de estas modificaciones se centra en </w:t>
      </w:r>
      <w:r w:rsidR="00D33EC9" w:rsidRPr="000B71BC">
        <w:rPr>
          <w:rFonts w:ascii="Times New Roman" w:eastAsia="Times New Roman" w:hAnsi="Times New Roman" w:cs="Times New Roman"/>
        </w:rPr>
        <w:t xml:space="preserve">la </w:t>
      </w:r>
      <w:r w:rsidR="000A0B43" w:rsidRPr="000B71BC">
        <w:rPr>
          <w:rFonts w:ascii="Times New Roman" w:eastAsia="Times New Roman" w:hAnsi="Times New Roman" w:cs="Times New Roman"/>
        </w:rPr>
        <w:t xml:space="preserve">exposición de </w:t>
      </w:r>
      <w:r w:rsidR="00D33EC9" w:rsidRPr="000B71BC">
        <w:rPr>
          <w:rFonts w:ascii="Times New Roman" w:eastAsia="Times New Roman" w:hAnsi="Times New Roman" w:cs="Times New Roman"/>
        </w:rPr>
        <w:t xml:space="preserve">las </w:t>
      </w:r>
      <w:r w:rsidR="000A0B43" w:rsidRPr="000B71BC">
        <w:rPr>
          <w:rFonts w:ascii="Times New Roman" w:eastAsia="Times New Roman" w:hAnsi="Times New Roman" w:cs="Times New Roman"/>
        </w:rPr>
        <w:t xml:space="preserve">partidas de </w:t>
      </w:r>
      <w:r w:rsidRPr="000B71BC">
        <w:rPr>
          <w:rFonts w:ascii="Times New Roman" w:eastAsia="Times New Roman" w:hAnsi="Times New Roman" w:cs="Times New Roman"/>
        </w:rPr>
        <w:t>r</w:t>
      </w:r>
      <w:r w:rsidR="000A0B43" w:rsidRPr="000B71BC">
        <w:rPr>
          <w:rFonts w:ascii="Times New Roman" w:eastAsia="Times New Roman" w:hAnsi="Times New Roman" w:cs="Times New Roman"/>
        </w:rPr>
        <w:t>esultado</w:t>
      </w:r>
      <w:r w:rsidRPr="000B71BC">
        <w:rPr>
          <w:rFonts w:ascii="Times New Roman" w:eastAsia="Times New Roman" w:hAnsi="Times New Roman" w:cs="Times New Roman"/>
        </w:rPr>
        <w:t>s</w:t>
      </w:r>
      <w:r w:rsidR="000A0B43" w:rsidRPr="000B71BC">
        <w:rPr>
          <w:rFonts w:ascii="Times New Roman" w:eastAsia="Times New Roman" w:hAnsi="Times New Roman" w:cs="Times New Roman"/>
        </w:rPr>
        <w:t xml:space="preserve">, </w:t>
      </w:r>
      <w:r w:rsidR="00A50EE3" w:rsidRPr="000B71BC">
        <w:rPr>
          <w:rFonts w:ascii="Times New Roman" w:eastAsia="Times New Roman" w:hAnsi="Times New Roman" w:cs="Times New Roman"/>
        </w:rPr>
        <w:t>puesto que la NIC 1 establece que un juego completo de estados financieros comprende, entre otros, al Estado del Resultado del Período y Otro Resultado Integral. De esta manera,</w:t>
      </w:r>
      <w:r w:rsidR="000A0B43" w:rsidRPr="000B71BC">
        <w:rPr>
          <w:rFonts w:ascii="Times New Roman" w:eastAsia="Times New Roman" w:hAnsi="Times New Roman" w:cs="Times New Roman"/>
        </w:rPr>
        <w:t xml:space="preserve"> el </w:t>
      </w:r>
      <w:r w:rsidR="00A50EE3" w:rsidRPr="000B71BC">
        <w:rPr>
          <w:rFonts w:ascii="Times New Roman" w:eastAsia="Times New Roman" w:hAnsi="Times New Roman" w:cs="Times New Roman"/>
        </w:rPr>
        <w:t>R</w:t>
      </w:r>
      <w:r w:rsidR="000A0B43" w:rsidRPr="000B71BC">
        <w:rPr>
          <w:rFonts w:ascii="Times New Roman" w:eastAsia="Times New Roman" w:hAnsi="Times New Roman" w:cs="Times New Roman"/>
        </w:rPr>
        <w:t xml:space="preserve">esultado </w:t>
      </w:r>
      <w:r w:rsidR="00A50EE3" w:rsidRPr="000B71BC">
        <w:rPr>
          <w:rFonts w:ascii="Times New Roman" w:eastAsia="Times New Roman" w:hAnsi="Times New Roman" w:cs="Times New Roman"/>
        </w:rPr>
        <w:t>I</w:t>
      </w:r>
      <w:r w:rsidR="000A0B43" w:rsidRPr="000B71BC">
        <w:rPr>
          <w:rFonts w:ascii="Times New Roman" w:eastAsia="Times New Roman" w:hAnsi="Times New Roman" w:cs="Times New Roman"/>
        </w:rPr>
        <w:t xml:space="preserve">ntegral del </w:t>
      </w:r>
      <w:r w:rsidR="00A50EE3" w:rsidRPr="000B71BC">
        <w:rPr>
          <w:rFonts w:ascii="Times New Roman" w:eastAsia="Times New Roman" w:hAnsi="Times New Roman" w:cs="Times New Roman"/>
        </w:rPr>
        <w:t>E</w:t>
      </w:r>
      <w:r w:rsidR="000A0B43" w:rsidRPr="000B71BC">
        <w:rPr>
          <w:rFonts w:ascii="Times New Roman" w:eastAsia="Times New Roman" w:hAnsi="Times New Roman" w:cs="Times New Roman"/>
        </w:rPr>
        <w:t xml:space="preserve">jercicio está compuesto por el </w:t>
      </w:r>
      <w:r w:rsidR="00A50EE3" w:rsidRPr="000B71BC">
        <w:rPr>
          <w:rFonts w:ascii="Times New Roman" w:eastAsia="Times New Roman" w:hAnsi="Times New Roman" w:cs="Times New Roman"/>
        </w:rPr>
        <w:t>R</w:t>
      </w:r>
      <w:r w:rsidR="000A0B43" w:rsidRPr="000B71BC">
        <w:rPr>
          <w:rFonts w:ascii="Times New Roman" w:eastAsia="Times New Roman" w:hAnsi="Times New Roman" w:cs="Times New Roman"/>
        </w:rPr>
        <w:t xml:space="preserve">esultado del </w:t>
      </w:r>
      <w:r w:rsidR="00A50EE3" w:rsidRPr="000B71BC">
        <w:rPr>
          <w:rFonts w:ascii="Times New Roman" w:eastAsia="Times New Roman" w:hAnsi="Times New Roman" w:cs="Times New Roman"/>
        </w:rPr>
        <w:t>E</w:t>
      </w:r>
      <w:r w:rsidR="000A0B43" w:rsidRPr="000B71BC">
        <w:rPr>
          <w:rFonts w:ascii="Times New Roman" w:eastAsia="Times New Roman" w:hAnsi="Times New Roman" w:cs="Times New Roman"/>
        </w:rPr>
        <w:t xml:space="preserve">jercicio y los </w:t>
      </w:r>
      <w:r w:rsidR="00A50EE3" w:rsidRPr="000B71BC">
        <w:rPr>
          <w:rFonts w:ascii="Times New Roman" w:eastAsia="Times New Roman" w:hAnsi="Times New Roman" w:cs="Times New Roman"/>
        </w:rPr>
        <w:t>O</w:t>
      </w:r>
      <w:r w:rsidR="000A0B43" w:rsidRPr="000B71BC">
        <w:rPr>
          <w:rFonts w:ascii="Times New Roman" w:eastAsia="Times New Roman" w:hAnsi="Times New Roman" w:cs="Times New Roman"/>
        </w:rPr>
        <w:t xml:space="preserve">tros </w:t>
      </w:r>
      <w:r w:rsidR="00A50EE3" w:rsidRPr="000B71BC">
        <w:rPr>
          <w:rFonts w:ascii="Times New Roman" w:eastAsia="Times New Roman" w:hAnsi="Times New Roman" w:cs="Times New Roman"/>
        </w:rPr>
        <w:t>R</w:t>
      </w:r>
      <w:r w:rsidR="000A0B43" w:rsidRPr="000B71BC">
        <w:rPr>
          <w:rFonts w:ascii="Times New Roman" w:eastAsia="Times New Roman" w:hAnsi="Times New Roman" w:cs="Times New Roman"/>
        </w:rPr>
        <w:t xml:space="preserve">esultados </w:t>
      </w:r>
      <w:r w:rsidR="00A50EE3" w:rsidRPr="000B71BC">
        <w:rPr>
          <w:rFonts w:ascii="Times New Roman" w:eastAsia="Times New Roman" w:hAnsi="Times New Roman" w:cs="Times New Roman"/>
        </w:rPr>
        <w:t>I</w:t>
      </w:r>
      <w:r w:rsidR="000A0B43" w:rsidRPr="000B71BC">
        <w:rPr>
          <w:rFonts w:ascii="Times New Roman" w:eastAsia="Times New Roman" w:hAnsi="Times New Roman" w:cs="Times New Roman"/>
        </w:rPr>
        <w:t>ntegrales</w:t>
      </w:r>
      <w:r w:rsidR="00893A5F" w:rsidRPr="000B71BC">
        <w:rPr>
          <w:rFonts w:ascii="Times New Roman" w:eastAsia="Times New Roman" w:hAnsi="Times New Roman" w:cs="Times New Roman"/>
        </w:rPr>
        <w:t xml:space="preserve">. </w:t>
      </w:r>
      <w:r w:rsidR="00A50EE3" w:rsidRPr="000B71BC">
        <w:rPr>
          <w:rFonts w:ascii="Times New Roman" w:eastAsia="Times New Roman" w:hAnsi="Times New Roman" w:cs="Times New Roman"/>
        </w:rPr>
        <w:t xml:space="preserve"> </w:t>
      </w:r>
      <w:r w:rsidR="00893A5F" w:rsidRPr="000B71BC">
        <w:rPr>
          <w:rFonts w:ascii="Times New Roman" w:eastAsia="Times New Roman" w:hAnsi="Times New Roman" w:cs="Times New Roman"/>
        </w:rPr>
        <w:t xml:space="preserve">Por su parte, bajo aplicación de </w:t>
      </w:r>
      <w:r w:rsidR="00A50EE3" w:rsidRPr="000B71BC">
        <w:rPr>
          <w:rFonts w:ascii="Times New Roman" w:eastAsia="Times New Roman" w:hAnsi="Times New Roman" w:cs="Times New Roman"/>
        </w:rPr>
        <w:t xml:space="preserve">las </w:t>
      </w:r>
      <w:r w:rsidR="00893A5F" w:rsidRPr="000B71BC">
        <w:rPr>
          <w:rFonts w:ascii="Times New Roman" w:eastAsia="Times New Roman" w:hAnsi="Times New Roman" w:cs="Times New Roman"/>
        </w:rPr>
        <w:t>normas locales</w:t>
      </w:r>
      <w:r w:rsidR="00A50EE3" w:rsidRPr="000B71BC">
        <w:rPr>
          <w:rFonts w:ascii="Times New Roman" w:eastAsia="Times New Roman" w:hAnsi="Times New Roman" w:cs="Times New Roman"/>
        </w:rPr>
        <w:t xml:space="preserve">, </w:t>
      </w:r>
      <w:r w:rsidR="00893A5F" w:rsidRPr="000B71BC">
        <w:rPr>
          <w:rFonts w:ascii="Times New Roman" w:eastAsia="Times New Roman" w:hAnsi="Times New Roman" w:cs="Times New Roman"/>
        </w:rPr>
        <w:t xml:space="preserve">en el </w:t>
      </w:r>
      <w:r w:rsidR="00A50EE3" w:rsidRPr="000B71BC">
        <w:rPr>
          <w:rFonts w:ascii="Times New Roman" w:eastAsia="Times New Roman" w:hAnsi="Times New Roman" w:cs="Times New Roman"/>
        </w:rPr>
        <w:t>E</w:t>
      </w:r>
      <w:r w:rsidR="00893A5F" w:rsidRPr="000B71BC">
        <w:rPr>
          <w:rFonts w:ascii="Times New Roman" w:eastAsia="Times New Roman" w:hAnsi="Times New Roman" w:cs="Times New Roman"/>
        </w:rPr>
        <w:t xml:space="preserve">stado de </w:t>
      </w:r>
      <w:r w:rsidR="00A50EE3" w:rsidRPr="000B71BC">
        <w:rPr>
          <w:rFonts w:ascii="Times New Roman" w:eastAsia="Times New Roman" w:hAnsi="Times New Roman" w:cs="Times New Roman"/>
        </w:rPr>
        <w:t>R</w:t>
      </w:r>
      <w:r w:rsidR="00893A5F" w:rsidRPr="000B71BC">
        <w:rPr>
          <w:rFonts w:ascii="Times New Roman" w:eastAsia="Times New Roman" w:hAnsi="Times New Roman" w:cs="Times New Roman"/>
        </w:rPr>
        <w:t xml:space="preserve">esultados se expone únicamente al </w:t>
      </w:r>
      <w:r w:rsidR="00A50EE3" w:rsidRPr="000B71BC">
        <w:rPr>
          <w:rFonts w:ascii="Times New Roman" w:eastAsia="Times New Roman" w:hAnsi="Times New Roman" w:cs="Times New Roman"/>
        </w:rPr>
        <w:t>R</w:t>
      </w:r>
      <w:r w:rsidR="00893A5F" w:rsidRPr="000B71BC">
        <w:rPr>
          <w:rFonts w:ascii="Times New Roman" w:eastAsia="Times New Roman" w:hAnsi="Times New Roman" w:cs="Times New Roman"/>
        </w:rPr>
        <w:t xml:space="preserve">esultado del </w:t>
      </w:r>
      <w:r w:rsidR="00A50EE3" w:rsidRPr="000B71BC">
        <w:rPr>
          <w:rFonts w:ascii="Times New Roman" w:eastAsia="Times New Roman" w:hAnsi="Times New Roman" w:cs="Times New Roman"/>
        </w:rPr>
        <w:t>E</w:t>
      </w:r>
      <w:r w:rsidR="00893A5F" w:rsidRPr="000B71BC">
        <w:rPr>
          <w:rFonts w:ascii="Times New Roman" w:eastAsia="Times New Roman" w:hAnsi="Times New Roman" w:cs="Times New Roman"/>
        </w:rPr>
        <w:t>jercicio</w:t>
      </w:r>
      <w:r w:rsidR="00A50EE3" w:rsidRPr="000B71BC">
        <w:rPr>
          <w:rFonts w:ascii="Times New Roman" w:eastAsia="Times New Roman" w:hAnsi="Times New Roman" w:cs="Times New Roman"/>
        </w:rPr>
        <w:t xml:space="preserve">. </w:t>
      </w:r>
      <w:r w:rsidR="000A0B43" w:rsidRPr="000B71BC">
        <w:rPr>
          <w:rFonts w:ascii="Times New Roman" w:eastAsia="Times New Roman" w:hAnsi="Times New Roman" w:cs="Times New Roman"/>
        </w:rPr>
        <w:t xml:space="preserve"> </w:t>
      </w:r>
    </w:p>
    <w:p w14:paraId="5AB7B754" w14:textId="5638B3AD" w:rsidR="00D55A60" w:rsidRPr="000B71BC" w:rsidRDefault="00F93A60" w:rsidP="000B71BC">
      <w:pPr>
        <w:spacing w:line="360" w:lineRule="auto"/>
        <w:ind w:firstLine="709"/>
        <w:jc w:val="both"/>
        <w:rPr>
          <w:rFonts w:ascii="Times New Roman" w:eastAsia="Times New Roman" w:hAnsi="Times New Roman" w:cs="Times New Roman"/>
        </w:rPr>
      </w:pPr>
      <w:r w:rsidRPr="000B71BC">
        <w:rPr>
          <w:rFonts w:ascii="Times New Roman" w:eastAsia="Times New Roman" w:hAnsi="Times New Roman" w:cs="Times New Roman"/>
        </w:rPr>
        <w:t xml:space="preserve">El </w:t>
      </w:r>
      <w:r w:rsidR="00D55A60" w:rsidRPr="000B71BC">
        <w:rPr>
          <w:rFonts w:ascii="Times New Roman" w:eastAsia="Times New Roman" w:hAnsi="Times New Roman" w:cs="Times New Roman"/>
        </w:rPr>
        <w:t>Otro Resultado Integral comprende partidas de ingresos y gastos que no se reconocen en el resultado tal como lo requieren o permiten otras NIIF</w:t>
      </w:r>
      <w:r w:rsidRPr="000B71BC">
        <w:rPr>
          <w:rFonts w:ascii="Times New Roman" w:eastAsia="Times New Roman" w:hAnsi="Times New Roman" w:cs="Times New Roman"/>
        </w:rPr>
        <w:t xml:space="preserve">, </w:t>
      </w:r>
      <w:r w:rsidR="00D55A60" w:rsidRPr="000B71BC">
        <w:rPr>
          <w:rFonts w:ascii="Times New Roman" w:eastAsia="Times New Roman" w:hAnsi="Times New Roman" w:cs="Times New Roman"/>
        </w:rPr>
        <w:t xml:space="preserve">son ganancias y pérdidas que aún no se han realizado y que no hacen al </w:t>
      </w:r>
      <w:r w:rsidR="00D55A60" w:rsidRPr="000B71BC">
        <w:rPr>
          <w:rFonts w:ascii="Times New Roman" w:eastAsia="Times New Roman" w:hAnsi="Times New Roman" w:cs="Times New Roman"/>
          <w:iCs/>
        </w:rPr>
        <w:t>negocio principal</w:t>
      </w:r>
      <w:r w:rsidR="00D55A60" w:rsidRPr="000B71BC">
        <w:rPr>
          <w:rFonts w:ascii="Times New Roman" w:eastAsia="Times New Roman" w:hAnsi="Times New Roman" w:cs="Times New Roman"/>
        </w:rPr>
        <w:t xml:space="preserve"> de las empresas</w:t>
      </w:r>
      <w:r w:rsidRPr="000B71BC">
        <w:rPr>
          <w:rFonts w:ascii="Times New Roman" w:eastAsia="Times New Roman" w:hAnsi="Times New Roman" w:cs="Times New Roman"/>
        </w:rPr>
        <w:t xml:space="preserve"> </w:t>
      </w:r>
      <w:sdt>
        <w:sdtPr>
          <w:rPr>
            <w:rFonts w:ascii="Times New Roman" w:eastAsia="Times New Roman" w:hAnsi="Times New Roman" w:cs="Times New Roman"/>
          </w:rPr>
          <w:id w:val="-1684821039"/>
          <w:citation/>
        </w:sdtPr>
        <w:sdtContent>
          <w:r w:rsidR="008B0F81">
            <w:rPr>
              <w:rFonts w:ascii="Times New Roman" w:eastAsia="Times New Roman" w:hAnsi="Times New Roman" w:cs="Times New Roman"/>
            </w:rPr>
            <w:fldChar w:fldCharType="begin"/>
          </w:r>
          <w:r w:rsidR="008B0F81">
            <w:rPr>
              <w:rFonts w:ascii="Times New Roman" w:eastAsia="Times New Roman" w:hAnsi="Times New Roman" w:cs="Times New Roman"/>
            </w:rPr>
            <w:instrText xml:space="preserve">CITATION Eat13 \l 11274 </w:instrText>
          </w:r>
          <w:r w:rsidR="008B0F81">
            <w:rPr>
              <w:rFonts w:ascii="Times New Roman" w:eastAsia="Times New Roman" w:hAnsi="Times New Roman" w:cs="Times New Roman"/>
            </w:rPr>
            <w:fldChar w:fldCharType="separate"/>
          </w:r>
          <w:r w:rsidR="00577AE2" w:rsidRPr="00577AE2">
            <w:rPr>
              <w:rFonts w:ascii="Times New Roman" w:eastAsia="Times New Roman" w:hAnsi="Times New Roman" w:cs="Times New Roman"/>
              <w:noProof/>
            </w:rPr>
            <w:t>(Eaton et al., 2013)</w:t>
          </w:r>
          <w:r w:rsidR="008B0F81">
            <w:rPr>
              <w:rFonts w:ascii="Times New Roman" w:eastAsia="Times New Roman" w:hAnsi="Times New Roman" w:cs="Times New Roman"/>
            </w:rPr>
            <w:fldChar w:fldCharType="end"/>
          </w:r>
        </w:sdtContent>
      </w:sdt>
      <w:sdt>
        <w:sdtPr>
          <w:rPr>
            <w:rFonts w:ascii="Times New Roman" w:eastAsia="Times New Roman" w:hAnsi="Times New Roman" w:cs="Times New Roman"/>
          </w:rPr>
          <w:id w:val="994683521"/>
          <w:citation/>
        </w:sdtPr>
        <w:sdtContent>
          <w:r w:rsidR="008B0F81">
            <w:rPr>
              <w:rFonts w:ascii="Times New Roman" w:eastAsia="Times New Roman" w:hAnsi="Times New Roman" w:cs="Times New Roman"/>
            </w:rPr>
            <w:fldChar w:fldCharType="begin"/>
          </w:r>
          <w:r w:rsidR="008B0F81">
            <w:rPr>
              <w:rFonts w:ascii="Times New Roman" w:eastAsia="Times New Roman" w:hAnsi="Times New Roman" w:cs="Times New Roman"/>
            </w:rPr>
            <w:instrText xml:space="preserve">CITATION Eat13 \l 11274 </w:instrText>
          </w:r>
          <w:r w:rsidR="008B0F81">
            <w:rPr>
              <w:rFonts w:ascii="Times New Roman" w:eastAsia="Times New Roman" w:hAnsi="Times New Roman" w:cs="Times New Roman"/>
            </w:rPr>
            <w:fldChar w:fldCharType="separate"/>
          </w:r>
          <w:r w:rsidR="00577AE2">
            <w:rPr>
              <w:rFonts w:ascii="Times New Roman" w:eastAsia="Times New Roman" w:hAnsi="Times New Roman" w:cs="Times New Roman"/>
              <w:noProof/>
            </w:rPr>
            <w:t xml:space="preserve"> </w:t>
          </w:r>
          <w:r w:rsidR="00577AE2" w:rsidRPr="00577AE2">
            <w:rPr>
              <w:rFonts w:ascii="Times New Roman" w:eastAsia="Times New Roman" w:hAnsi="Times New Roman" w:cs="Times New Roman"/>
              <w:noProof/>
            </w:rPr>
            <w:t>(Eaton et al., 2013)</w:t>
          </w:r>
          <w:r w:rsidR="008B0F81">
            <w:rPr>
              <w:rFonts w:ascii="Times New Roman" w:eastAsia="Times New Roman" w:hAnsi="Times New Roman" w:cs="Times New Roman"/>
            </w:rPr>
            <w:fldChar w:fldCharType="end"/>
          </w:r>
        </w:sdtContent>
      </w:sdt>
      <w:r w:rsidR="008B0F81">
        <w:rPr>
          <w:rFonts w:ascii="Times New Roman" w:eastAsia="Times New Roman" w:hAnsi="Times New Roman" w:cs="Times New Roman"/>
        </w:rPr>
        <w:t>. La</w:t>
      </w:r>
      <w:r w:rsidR="00D55A60" w:rsidRPr="000B71BC">
        <w:rPr>
          <w:rFonts w:ascii="Times New Roman" w:eastAsia="Times New Roman" w:hAnsi="Times New Roman" w:cs="Times New Roman"/>
        </w:rPr>
        <w:t xml:space="preserve">s ganancias y pérdidas </w:t>
      </w:r>
      <w:r w:rsidRPr="000B71BC">
        <w:rPr>
          <w:rFonts w:ascii="Times New Roman" w:eastAsia="Times New Roman" w:hAnsi="Times New Roman" w:cs="Times New Roman"/>
        </w:rPr>
        <w:t xml:space="preserve">presentadas </w:t>
      </w:r>
      <w:r w:rsidR="00D55A60" w:rsidRPr="000B71BC">
        <w:rPr>
          <w:rFonts w:ascii="Times New Roman" w:eastAsia="Times New Roman" w:hAnsi="Times New Roman" w:cs="Times New Roman"/>
        </w:rPr>
        <w:t xml:space="preserve">dentro de los ORI son, entre otras, cambios en el valor razonable de los valores negociables clasificados como disponibles para la venta, ajustes de conversión de moneda extranjera, ajustes de activos y pasivos de pensiones y cambios en el valor razonable de instrumentos derivados clasificados como coberturas de flujo de efectivo </w:t>
      </w:r>
      <w:sdt>
        <w:sdtPr>
          <w:rPr>
            <w:rFonts w:ascii="Times New Roman" w:eastAsia="Times New Roman" w:hAnsi="Times New Roman" w:cs="Times New Roman"/>
          </w:rPr>
          <w:id w:val="741212002"/>
          <w:citation/>
        </w:sdtPr>
        <w:sdtContent>
          <w:r w:rsidR="00D55A60" w:rsidRPr="00AD5D73">
            <w:rPr>
              <w:rFonts w:ascii="Times New Roman" w:eastAsia="Times New Roman" w:hAnsi="Times New Roman" w:cs="Times New Roman"/>
            </w:rPr>
            <w:fldChar w:fldCharType="begin"/>
          </w:r>
          <w:r w:rsidR="00D55A60" w:rsidRPr="00AD5D73">
            <w:rPr>
              <w:rFonts w:ascii="Times New Roman" w:eastAsia="Times New Roman" w:hAnsi="Times New Roman" w:cs="Times New Roman"/>
            </w:rPr>
            <w:instrText xml:space="preserve"> CITATION Gra18 \l 3082 </w:instrText>
          </w:r>
          <w:r w:rsidR="00D55A60" w:rsidRPr="00AD5D73">
            <w:rPr>
              <w:rFonts w:ascii="Times New Roman" w:eastAsia="Times New Roman" w:hAnsi="Times New Roman" w:cs="Times New Roman"/>
            </w:rPr>
            <w:fldChar w:fldCharType="separate"/>
          </w:r>
          <w:r w:rsidR="00577AE2" w:rsidRPr="00577AE2">
            <w:rPr>
              <w:rFonts w:ascii="Times New Roman" w:eastAsia="Times New Roman" w:hAnsi="Times New Roman" w:cs="Times New Roman"/>
              <w:noProof/>
            </w:rPr>
            <w:t>(Graham &amp; Lin, 2018)</w:t>
          </w:r>
          <w:r w:rsidR="00D55A60" w:rsidRPr="00AD5D73">
            <w:rPr>
              <w:rFonts w:ascii="Times New Roman" w:eastAsia="Times New Roman" w:hAnsi="Times New Roman" w:cs="Times New Roman"/>
            </w:rPr>
            <w:fldChar w:fldCharType="end"/>
          </w:r>
        </w:sdtContent>
      </w:sdt>
      <w:r w:rsidR="00AD5D73">
        <w:rPr>
          <w:rFonts w:ascii="Times New Roman" w:eastAsia="Times New Roman" w:hAnsi="Times New Roman" w:cs="Times New Roman"/>
        </w:rPr>
        <w:t>.</w:t>
      </w:r>
    </w:p>
    <w:p w14:paraId="5143D68A" w14:textId="783DB36D" w:rsidR="009B7EDF" w:rsidRDefault="0069795E" w:rsidP="000B71BC">
      <w:pPr>
        <w:spacing w:line="360" w:lineRule="auto"/>
        <w:ind w:firstLine="709"/>
        <w:jc w:val="both"/>
        <w:rPr>
          <w:rFonts w:ascii="Times New Roman" w:eastAsia="Times New Roman" w:hAnsi="Times New Roman" w:cs="Times New Roman"/>
        </w:rPr>
      </w:pPr>
      <w:r w:rsidRPr="000B71BC">
        <w:rPr>
          <w:rFonts w:ascii="Times New Roman" w:eastAsia="Times New Roman" w:hAnsi="Times New Roman" w:cs="Times New Roman"/>
        </w:rPr>
        <w:t>La literatura</w:t>
      </w:r>
      <w:r w:rsidR="009B7EDF" w:rsidRPr="000B71BC">
        <w:rPr>
          <w:rFonts w:ascii="Times New Roman" w:eastAsia="Times New Roman" w:hAnsi="Times New Roman" w:cs="Times New Roman"/>
        </w:rPr>
        <w:t xml:space="preserve"> previa da cuenta de la importancia del estudio de la relevancia valorativa del R</w:t>
      </w:r>
      <w:r w:rsidRPr="000B71BC">
        <w:rPr>
          <w:rFonts w:ascii="Times New Roman" w:eastAsia="Times New Roman" w:hAnsi="Times New Roman" w:cs="Times New Roman"/>
        </w:rPr>
        <w:t>esultado Integral del Ejercicio</w:t>
      </w:r>
      <w:r w:rsidR="009B7EDF" w:rsidRPr="000B71BC">
        <w:rPr>
          <w:rFonts w:ascii="Times New Roman" w:eastAsia="Times New Roman" w:hAnsi="Times New Roman" w:cs="Times New Roman"/>
        </w:rPr>
        <w:t xml:space="preserve"> y de sus componentes. En este sentido,</w:t>
      </w:r>
      <w:r w:rsidR="00AD5D73">
        <w:rPr>
          <w:rFonts w:ascii="Times New Roman" w:eastAsia="Times New Roman" w:hAnsi="Times New Roman" w:cs="Times New Roman"/>
        </w:rPr>
        <w:t xml:space="preserve"> </w:t>
      </w:r>
      <w:sdt>
        <w:sdtPr>
          <w:rPr>
            <w:rFonts w:ascii="Times New Roman" w:eastAsia="Times New Roman" w:hAnsi="Times New Roman" w:cs="Times New Roman"/>
          </w:rPr>
          <w:id w:val="-836298993"/>
          <w:citation/>
        </w:sdtPr>
        <w:sdtContent>
          <w:r w:rsidR="00AD5D73">
            <w:rPr>
              <w:rFonts w:ascii="Times New Roman" w:eastAsia="Times New Roman" w:hAnsi="Times New Roman" w:cs="Times New Roman"/>
            </w:rPr>
            <w:fldChar w:fldCharType="begin"/>
          </w:r>
          <w:r w:rsidR="00AD5D73">
            <w:rPr>
              <w:rFonts w:ascii="Times New Roman" w:eastAsia="Times New Roman" w:hAnsi="Times New Roman" w:cs="Times New Roman"/>
            </w:rPr>
            <w:instrText xml:space="preserve"> CITATION Gin991 \l 11274 </w:instrText>
          </w:r>
          <w:r w:rsidR="00AD5D73">
            <w:rPr>
              <w:rFonts w:ascii="Times New Roman" w:eastAsia="Times New Roman" w:hAnsi="Times New Roman" w:cs="Times New Roman"/>
            </w:rPr>
            <w:fldChar w:fldCharType="separate"/>
          </w:r>
          <w:r w:rsidR="00577AE2" w:rsidRPr="00577AE2">
            <w:rPr>
              <w:rFonts w:ascii="Times New Roman" w:eastAsia="Times New Roman" w:hAnsi="Times New Roman" w:cs="Times New Roman"/>
              <w:noProof/>
            </w:rPr>
            <w:t>(Giner &amp; Reverte, 1999)</w:t>
          </w:r>
          <w:r w:rsidR="00AD5D73">
            <w:rPr>
              <w:rFonts w:ascii="Times New Roman" w:eastAsia="Times New Roman" w:hAnsi="Times New Roman" w:cs="Times New Roman"/>
            </w:rPr>
            <w:fldChar w:fldCharType="end"/>
          </w:r>
        </w:sdtContent>
      </w:sdt>
      <w:r w:rsidR="00AD5D73">
        <w:rPr>
          <w:rFonts w:ascii="Times New Roman" w:eastAsia="Times New Roman" w:hAnsi="Times New Roman" w:cs="Times New Roman"/>
        </w:rPr>
        <w:t xml:space="preserve"> </w:t>
      </w:r>
      <w:sdt>
        <w:sdtPr>
          <w:rPr>
            <w:rFonts w:ascii="Times New Roman" w:eastAsia="Times New Roman" w:hAnsi="Times New Roman" w:cs="Times New Roman"/>
          </w:rPr>
          <w:id w:val="980507747"/>
          <w:citation/>
        </w:sdtPr>
        <w:sdtContent>
          <w:r w:rsidR="008635B0">
            <w:rPr>
              <w:rFonts w:ascii="Times New Roman" w:eastAsia="Times New Roman" w:hAnsi="Times New Roman" w:cs="Times New Roman"/>
            </w:rPr>
            <w:fldChar w:fldCharType="begin"/>
          </w:r>
          <w:r w:rsidR="008635B0">
            <w:rPr>
              <w:rFonts w:ascii="Times New Roman" w:eastAsia="Times New Roman" w:hAnsi="Times New Roman" w:cs="Times New Roman"/>
            </w:rPr>
            <w:instrText xml:space="preserve"> CITATION Cut16 \l 11274 </w:instrText>
          </w:r>
          <w:r w:rsidR="008635B0">
            <w:rPr>
              <w:rFonts w:ascii="Times New Roman" w:eastAsia="Times New Roman" w:hAnsi="Times New Roman" w:cs="Times New Roman"/>
            </w:rPr>
            <w:fldChar w:fldCharType="separate"/>
          </w:r>
          <w:r w:rsidR="00577AE2" w:rsidRPr="00577AE2">
            <w:rPr>
              <w:rFonts w:ascii="Times New Roman" w:eastAsia="Times New Roman" w:hAnsi="Times New Roman" w:cs="Times New Roman"/>
              <w:noProof/>
            </w:rPr>
            <w:t>(Cutillas-Gomariz et al., 2016)</w:t>
          </w:r>
          <w:r w:rsidR="008635B0">
            <w:rPr>
              <w:rFonts w:ascii="Times New Roman" w:eastAsia="Times New Roman" w:hAnsi="Times New Roman" w:cs="Times New Roman"/>
            </w:rPr>
            <w:fldChar w:fldCharType="end"/>
          </w:r>
        </w:sdtContent>
      </w:sdt>
      <w:r w:rsidR="008635B0">
        <w:rPr>
          <w:rFonts w:ascii="Times New Roman" w:eastAsia="Times New Roman" w:hAnsi="Times New Roman" w:cs="Times New Roman"/>
        </w:rPr>
        <w:t xml:space="preserve"> </w:t>
      </w:r>
      <w:r w:rsidR="009B7EDF" w:rsidRPr="000B71BC">
        <w:rPr>
          <w:rFonts w:ascii="Times New Roman" w:eastAsia="Times New Roman" w:hAnsi="Times New Roman" w:cs="Times New Roman"/>
        </w:rPr>
        <w:t xml:space="preserve">estudiaron la relevancia valorativa de los diferentes componentes del estado de resultados </w:t>
      </w:r>
      <w:r w:rsidR="001366BF">
        <w:rPr>
          <w:rFonts w:ascii="Times New Roman" w:eastAsia="Times New Roman" w:hAnsi="Times New Roman" w:cs="Times New Roman"/>
        </w:rPr>
        <w:t>de una muestra de empresas cotizadas españolas</w:t>
      </w:r>
      <w:r w:rsidR="00DF38C3">
        <w:rPr>
          <w:rFonts w:ascii="Times New Roman" w:eastAsia="Times New Roman" w:hAnsi="Times New Roman" w:cs="Times New Roman"/>
        </w:rPr>
        <w:t>,</w:t>
      </w:r>
      <w:r w:rsidR="001366BF">
        <w:rPr>
          <w:rFonts w:ascii="Times New Roman" w:eastAsia="Times New Roman" w:hAnsi="Times New Roman" w:cs="Times New Roman"/>
        </w:rPr>
        <w:t xml:space="preserve"> </w:t>
      </w:r>
      <w:r w:rsidR="009B7EDF" w:rsidRPr="000B71BC">
        <w:rPr>
          <w:rFonts w:ascii="Times New Roman" w:eastAsia="Times New Roman" w:hAnsi="Times New Roman" w:cs="Times New Roman"/>
        </w:rPr>
        <w:t xml:space="preserve">con el fin de determinar </w:t>
      </w:r>
      <w:r w:rsidR="00DF38C3">
        <w:rPr>
          <w:rFonts w:ascii="Times New Roman" w:eastAsia="Times New Roman" w:hAnsi="Times New Roman" w:cs="Times New Roman"/>
        </w:rPr>
        <w:t xml:space="preserve">si las partidas integrantes del beneficio proporcionan información incremental de significación para </w:t>
      </w:r>
      <w:r w:rsidR="009B7EDF" w:rsidRPr="000B71BC">
        <w:rPr>
          <w:rFonts w:ascii="Times New Roman" w:eastAsia="Times New Roman" w:hAnsi="Times New Roman" w:cs="Times New Roman"/>
        </w:rPr>
        <w:t>los inversores</w:t>
      </w:r>
      <w:r w:rsidR="00916FD6">
        <w:rPr>
          <w:rFonts w:ascii="Times New Roman" w:eastAsia="Times New Roman" w:hAnsi="Times New Roman" w:cs="Times New Roman"/>
        </w:rPr>
        <w:t xml:space="preserve">. En el estudio se </w:t>
      </w:r>
      <w:r w:rsidR="009B7EDF" w:rsidRPr="000B71BC">
        <w:rPr>
          <w:rFonts w:ascii="Times New Roman" w:eastAsia="Times New Roman" w:hAnsi="Times New Roman" w:cs="Times New Roman"/>
        </w:rPr>
        <w:t xml:space="preserve">concluye </w:t>
      </w:r>
      <w:r w:rsidR="00050A8A">
        <w:rPr>
          <w:rFonts w:ascii="Times New Roman" w:eastAsia="Times New Roman" w:hAnsi="Times New Roman" w:cs="Times New Roman"/>
        </w:rPr>
        <w:t>acerca de la utilidad de la desagregación del resultado, sin embargo,</w:t>
      </w:r>
      <w:r w:rsidR="009B7EDF" w:rsidRPr="000B71BC">
        <w:rPr>
          <w:rFonts w:ascii="Times New Roman" w:eastAsia="Times New Roman" w:hAnsi="Times New Roman" w:cs="Times New Roman"/>
        </w:rPr>
        <w:t xml:space="preserve"> el resultado financiero y los resultados extraordinarios no aportan información adicional sobre la cifra de </w:t>
      </w:r>
      <w:r w:rsidR="003D34DE">
        <w:rPr>
          <w:rFonts w:ascii="Times New Roman" w:eastAsia="Times New Roman" w:hAnsi="Times New Roman" w:cs="Times New Roman"/>
        </w:rPr>
        <w:t>ganancias</w:t>
      </w:r>
      <w:r w:rsidR="009B7EDF" w:rsidRPr="000B71BC">
        <w:rPr>
          <w:rFonts w:ascii="Times New Roman" w:eastAsia="Times New Roman" w:hAnsi="Times New Roman" w:cs="Times New Roman"/>
        </w:rPr>
        <w:t xml:space="preserve">. </w:t>
      </w:r>
    </w:p>
    <w:p w14:paraId="12DAC4B6" w14:textId="3B4A1A8B" w:rsidR="0087606F" w:rsidRPr="000B71BC" w:rsidRDefault="0087606F" w:rsidP="00977E30">
      <w:pPr>
        <w:spacing w:line="360" w:lineRule="auto"/>
        <w:ind w:firstLine="709"/>
        <w:jc w:val="both"/>
        <w:rPr>
          <w:rFonts w:ascii="Times New Roman" w:eastAsia="Times New Roman" w:hAnsi="Times New Roman" w:cs="Times New Roman"/>
        </w:rPr>
      </w:pPr>
      <w:r w:rsidRPr="000B71BC">
        <w:rPr>
          <w:rFonts w:ascii="Times New Roman" w:eastAsia="Times New Roman" w:hAnsi="Times New Roman" w:cs="Times New Roman"/>
        </w:rPr>
        <w:t xml:space="preserve">En </w:t>
      </w:r>
      <w:r>
        <w:rPr>
          <w:rFonts w:ascii="Times New Roman" w:eastAsia="Times New Roman" w:hAnsi="Times New Roman" w:cs="Times New Roman"/>
        </w:rPr>
        <w:t>la misma línea</w:t>
      </w:r>
      <w:r w:rsidR="00D14374">
        <w:rPr>
          <w:rFonts w:ascii="Times New Roman" w:eastAsia="Times New Roman" w:hAnsi="Times New Roman" w:cs="Times New Roman"/>
        </w:rPr>
        <w:t xml:space="preserve">, </w:t>
      </w:r>
      <w:sdt>
        <w:sdtPr>
          <w:rPr>
            <w:rFonts w:ascii="Times New Roman" w:eastAsia="Times New Roman" w:hAnsi="Times New Roman" w:cs="Times New Roman"/>
          </w:rPr>
          <w:id w:val="1423219418"/>
          <w:citation/>
        </w:sdtPr>
        <w:sdtContent>
          <w:r w:rsidR="00D14374">
            <w:rPr>
              <w:rFonts w:ascii="Times New Roman" w:eastAsia="Times New Roman" w:hAnsi="Times New Roman" w:cs="Times New Roman"/>
            </w:rPr>
            <w:fldChar w:fldCharType="begin"/>
          </w:r>
          <w:r w:rsidR="00D14374">
            <w:rPr>
              <w:rFonts w:ascii="Times New Roman" w:eastAsia="Times New Roman" w:hAnsi="Times New Roman" w:cs="Times New Roman"/>
            </w:rPr>
            <w:instrText xml:space="preserve"> CITATION Cut16 \l 11274 </w:instrText>
          </w:r>
          <w:r w:rsidR="00D14374">
            <w:rPr>
              <w:rFonts w:ascii="Times New Roman" w:eastAsia="Times New Roman" w:hAnsi="Times New Roman" w:cs="Times New Roman"/>
            </w:rPr>
            <w:fldChar w:fldCharType="separate"/>
          </w:r>
          <w:r w:rsidR="00577AE2" w:rsidRPr="00577AE2">
            <w:rPr>
              <w:rFonts w:ascii="Times New Roman" w:eastAsia="Times New Roman" w:hAnsi="Times New Roman" w:cs="Times New Roman"/>
              <w:noProof/>
            </w:rPr>
            <w:t>(Cutillas-Gomariz et al., 2016)</w:t>
          </w:r>
          <w:r w:rsidR="00D14374">
            <w:rPr>
              <w:rFonts w:ascii="Times New Roman" w:eastAsia="Times New Roman" w:hAnsi="Times New Roman" w:cs="Times New Roman"/>
            </w:rPr>
            <w:fldChar w:fldCharType="end"/>
          </w:r>
        </w:sdtContent>
      </w:sdt>
      <w:r w:rsidR="00D14374">
        <w:rPr>
          <w:rFonts w:ascii="Times New Roman" w:eastAsia="Times New Roman" w:hAnsi="Times New Roman" w:cs="Times New Roman"/>
        </w:rPr>
        <w:t xml:space="preserve"> o</w:t>
      </w:r>
      <w:r w:rsidRPr="000B71BC">
        <w:rPr>
          <w:rFonts w:ascii="Times New Roman" w:eastAsia="Times New Roman" w:hAnsi="Times New Roman" w:cs="Times New Roman"/>
        </w:rPr>
        <w:t xml:space="preserve">bservaron que la </w:t>
      </w:r>
      <w:r>
        <w:rPr>
          <w:rFonts w:ascii="Times New Roman" w:eastAsia="Times New Roman" w:hAnsi="Times New Roman" w:cs="Times New Roman"/>
        </w:rPr>
        <w:t>adopción</w:t>
      </w:r>
      <w:r w:rsidRPr="000B71BC">
        <w:rPr>
          <w:rFonts w:ascii="Times New Roman" w:eastAsia="Times New Roman" w:hAnsi="Times New Roman" w:cs="Times New Roman"/>
        </w:rPr>
        <w:t xml:space="preserve"> de las NIIF en las empresas españolas ha llevado a un incremento en la relevancia valorativa del resultado del ejercicio</w:t>
      </w:r>
      <w:r>
        <w:rPr>
          <w:rFonts w:ascii="Times New Roman" w:eastAsia="Times New Roman" w:hAnsi="Times New Roman" w:cs="Times New Roman"/>
        </w:rPr>
        <w:t>, así como d</w:t>
      </w:r>
      <w:r w:rsidRPr="000B71BC">
        <w:rPr>
          <w:rFonts w:ascii="Times New Roman" w:eastAsia="Times New Roman" w:hAnsi="Times New Roman" w:cs="Times New Roman"/>
        </w:rPr>
        <w:t>el resultado operativo, pero no encuentran cambios significativos en lo que respecta a los resultados financieros.</w:t>
      </w:r>
    </w:p>
    <w:p w14:paraId="328A42E7" w14:textId="4E045F95" w:rsidR="009B7EDF" w:rsidRPr="000B71BC" w:rsidRDefault="009B7EDF" w:rsidP="000B71BC">
      <w:pPr>
        <w:spacing w:line="360" w:lineRule="auto"/>
        <w:ind w:firstLine="709"/>
        <w:jc w:val="both"/>
        <w:rPr>
          <w:rFonts w:ascii="Times New Roman" w:eastAsia="Times New Roman" w:hAnsi="Times New Roman" w:cs="Times New Roman"/>
        </w:rPr>
      </w:pPr>
      <w:r w:rsidRPr="000B71BC">
        <w:rPr>
          <w:rFonts w:ascii="Times New Roman" w:eastAsia="Times New Roman" w:hAnsi="Times New Roman" w:cs="Times New Roman"/>
        </w:rPr>
        <w:t>Por su parte,</w:t>
      </w:r>
      <w:sdt>
        <w:sdtPr>
          <w:rPr>
            <w:rFonts w:ascii="Times New Roman" w:eastAsia="Times New Roman" w:hAnsi="Times New Roman" w:cs="Times New Roman"/>
          </w:rPr>
          <w:id w:val="-478385885"/>
          <w:citation/>
        </w:sdtPr>
        <w:sdtContent>
          <w:r w:rsidR="00694138">
            <w:rPr>
              <w:rFonts w:ascii="Times New Roman" w:eastAsia="Times New Roman" w:hAnsi="Times New Roman" w:cs="Times New Roman"/>
            </w:rPr>
            <w:fldChar w:fldCharType="begin"/>
          </w:r>
          <w:r w:rsidR="00694138">
            <w:rPr>
              <w:rFonts w:ascii="Times New Roman" w:eastAsia="Times New Roman" w:hAnsi="Times New Roman" w:cs="Times New Roman"/>
            </w:rPr>
            <w:instrText xml:space="preserve"> CITATION Ser11 \l 11274 </w:instrText>
          </w:r>
          <w:r w:rsidR="00694138">
            <w:rPr>
              <w:rFonts w:ascii="Times New Roman" w:eastAsia="Times New Roman" w:hAnsi="Times New Roman" w:cs="Times New Roman"/>
            </w:rPr>
            <w:fldChar w:fldCharType="separate"/>
          </w:r>
          <w:r w:rsidR="00577AE2">
            <w:rPr>
              <w:rFonts w:ascii="Times New Roman" w:eastAsia="Times New Roman" w:hAnsi="Times New Roman" w:cs="Times New Roman"/>
              <w:noProof/>
            </w:rPr>
            <w:t xml:space="preserve"> </w:t>
          </w:r>
          <w:r w:rsidR="00577AE2" w:rsidRPr="00577AE2">
            <w:rPr>
              <w:rFonts w:ascii="Times New Roman" w:eastAsia="Times New Roman" w:hAnsi="Times New Roman" w:cs="Times New Roman"/>
              <w:noProof/>
            </w:rPr>
            <w:t>(Serrat et al., 2011)</w:t>
          </w:r>
          <w:r w:rsidR="00694138">
            <w:rPr>
              <w:rFonts w:ascii="Times New Roman" w:eastAsia="Times New Roman" w:hAnsi="Times New Roman" w:cs="Times New Roman"/>
            </w:rPr>
            <w:fldChar w:fldCharType="end"/>
          </w:r>
        </w:sdtContent>
      </w:sdt>
      <w:r w:rsidR="00694138">
        <w:rPr>
          <w:rFonts w:ascii="Times New Roman" w:eastAsia="Times New Roman" w:hAnsi="Times New Roman" w:cs="Times New Roman"/>
        </w:rPr>
        <w:t xml:space="preserve"> a</w:t>
      </w:r>
      <w:r w:rsidR="00E77C92">
        <w:rPr>
          <w:rFonts w:ascii="Times New Roman" w:eastAsia="Times New Roman" w:hAnsi="Times New Roman" w:cs="Times New Roman"/>
        </w:rPr>
        <w:t xml:space="preserve">nalizaron </w:t>
      </w:r>
      <w:r w:rsidR="00F07F29">
        <w:rPr>
          <w:rFonts w:ascii="Times New Roman" w:eastAsia="Times New Roman" w:hAnsi="Times New Roman" w:cs="Times New Roman"/>
        </w:rPr>
        <w:t xml:space="preserve">la relevancia valorativa del resultado global y del resultado neto para un grupo de empresas españolas cotizadas en el período 2008-2009. Los resultados del estudio </w:t>
      </w:r>
      <w:r w:rsidRPr="000B71BC">
        <w:rPr>
          <w:rFonts w:ascii="Times New Roman" w:eastAsia="Times New Roman" w:hAnsi="Times New Roman" w:cs="Times New Roman"/>
        </w:rPr>
        <w:t xml:space="preserve">mostraron que </w:t>
      </w:r>
      <w:r w:rsidR="00F07F29">
        <w:rPr>
          <w:rFonts w:ascii="Times New Roman" w:eastAsia="Times New Roman" w:hAnsi="Times New Roman" w:cs="Times New Roman"/>
        </w:rPr>
        <w:t xml:space="preserve">ambas variables analizadas son </w:t>
      </w:r>
      <w:r w:rsidRPr="000B71BC">
        <w:rPr>
          <w:rFonts w:ascii="Times New Roman" w:eastAsia="Times New Roman" w:hAnsi="Times New Roman" w:cs="Times New Roman"/>
        </w:rPr>
        <w:t>relevante</w:t>
      </w:r>
      <w:r w:rsidR="00F07F29">
        <w:rPr>
          <w:rFonts w:ascii="Times New Roman" w:eastAsia="Times New Roman" w:hAnsi="Times New Roman" w:cs="Times New Roman"/>
        </w:rPr>
        <w:t>s</w:t>
      </w:r>
      <w:r w:rsidRPr="000B71BC">
        <w:rPr>
          <w:rFonts w:ascii="Times New Roman" w:eastAsia="Times New Roman" w:hAnsi="Times New Roman" w:cs="Times New Roman"/>
        </w:rPr>
        <w:t xml:space="preserve"> para determinar tanto el valor intrínseco de la empresa como para explicar </w:t>
      </w:r>
      <w:r w:rsidR="00E77C92">
        <w:rPr>
          <w:rFonts w:ascii="Times New Roman" w:eastAsia="Times New Roman" w:hAnsi="Times New Roman" w:cs="Times New Roman"/>
        </w:rPr>
        <w:t>la</w:t>
      </w:r>
      <w:r w:rsidRPr="000B71BC">
        <w:rPr>
          <w:rFonts w:ascii="Times New Roman" w:eastAsia="Times New Roman" w:hAnsi="Times New Roman" w:cs="Times New Roman"/>
        </w:rPr>
        <w:t xml:space="preserve"> rentabilidad. Con relación a los componentes del resultado global analizados, concluyen que tan sólo los resultados por diferencias de conversión de la moneda extranjera añaden poder explicativo adicional al del resultado neto. </w:t>
      </w:r>
    </w:p>
    <w:p w14:paraId="7A4E463F" w14:textId="48B23F8F" w:rsidR="00F46522" w:rsidRPr="000B71BC" w:rsidRDefault="00F46522" w:rsidP="000B71BC">
      <w:pPr>
        <w:spacing w:line="360" w:lineRule="auto"/>
        <w:ind w:firstLine="709"/>
        <w:jc w:val="both"/>
        <w:rPr>
          <w:rFonts w:ascii="Times New Roman" w:eastAsia="Times New Roman" w:hAnsi="Times New Roman" w:cs="Times New Roman"/>
        </w:rPr>
      </w:pPr>
      <w:r w:rsidRPr="000B71BC">
        <w:rPr>
          <w:rFonts w:ascii="Times New Roman" w:eastAsia="Times New Roman" w:hAnsi="Times New Roman" w:cs="Times New Roman"/>
        </w:rPr>
        <w:lastRenderedPageBreak/>
        <w:t xml:space="preserve">Este trabajo tiene como objetivo general analizar los cambios en la relevancia valorativa de las partidas de resultados por la adopción de las NIIF en las empresas cotizantes en el mercado de valores de Argentina en los ejercicios iniciados en el año 2011 y en el año 2018. </w:t>
      </w:r>
    </w:p>
    <w:p w14:paraId="5568181A" w14:textId="2D985103" w:rsidR="00D977FA" w:rsidRPr="000B71BC" w:rsidRDefault="00F46522" w:rsidP="000B71BC">
      <w:pPr>
        <w:spacing w:line="360" w:lineRule="auto"/>
        <w:ind w:firstLine="709"/>
        <w:jc w:val="both"/>
        <w:rPr>
          <w:rFonts w:ascii="Times New Roman" w:eastAsia="Times New Roman" w:hAnsi="Times New Roman" w:cs="Times New Roman"/>
        </w:rPr>
      </w:pPr>
      <w:r w:rsidRPr="000B71BC">
        <w:rPr>
          <w:rFonts w:ascii="Times New Roman" w:eastAsia="Times New Roman" w:hAnsi="Times New Roman" w:cs="Times New Roman"/>
        </w:rPr>
        <w:t xml:space="preserve">Para arribar a este objetivo </w:t>
      </w:r>
      <w:r w:rsidRPr="000B71BC">
        <w:rPr>
          <w:rFonts w:ascii="Times New Roman" w:hAnsi="Times New Roman" w:cs="Times New Roman"/>
        </w:rPr>
        <w:t>se empleó</w:t>
      </w:r>
      <w:r w:rsidR="000A0B43" w:rsidRPr="000B71BC">
        <w:rPr>
          <w:rFonts w:ascii="Times New Roman" w:hAnsi="Times New Roman" w:cs="Times New Roman"/>
        </w:rPr>
        <w:t xml:space="preserve"> una adaptación realizada por</w:t>
      </w:r>
      <w:r w:rsidR="004C3495">
        <w:rPr>
          <w:rFonts w:ascii="Times New Roman" w:hAnsi="Times New Roman" w:cs="Times New Roman"/>
        </w:rPr>
        <w:t xml:space="preserve"> </w:t>
      </w:r>
      <w:sdt>
        <w:sdtPr>
          <w:rPr>
            <w:rFonts w:ascii="Times New Roman" w:hAnsi="Times New Roman" w:cs="Times New Roman"/>
          </w:rPr>
          <w:id w:val="-2036641094"/>
          <w:citation/>
        </w:sdtPr>
        <w:sdtContent>
          <w:r w:rsidR="004C3495">
            <w:rPr>
              <w:rFonts w:ascii="Times New Roman" w:hAnsi="Times New Roman" w:cs="Times New Roman"/>
            </w:rPr>
            <w:fldChar w:fldCharType="begin"/>
          </w:r>
          <w:r w:rsidR="004C3495">
            <w:rPr>
              <w:rFonts w:ascii="Times New Roman" w:hAnsi="Times New Roman" w:cs="Times New Roman"/>
            </w:rPr>
            <w:instrText xml:space="preserve"> CITATION Gin991 \l 11274 </w:instrText>
          </w:r>
          <w:r w:rsidR="004C3495">
            <w:rPr>
              <w:rFonts w:ascii="Times New Roman" w:hAnsi="Times New Roman" w:cs="Times New Roman"/>
            </w:rPr>
            <w:fldChar w:fldCharType="separate"/>
          </w:r>
          <w:r w:rsidR="00577AE2" w:rsidRPr="00577AE2">
            <w:rPr>
              <w:rFonts w:ascii="Times New Roman" w:hAnsi="Times New Roman" w:cs="Times New Roman"/>
              <w:noProof/>
            </w:rPr>
            <w:t>(Giner &amp; Reverte, 1999)</w:t>
          </w:r>
          <w:r w:rsidR="004C3495">
            <w:rPr>
              <w:rFonts w:ascii="Times New Roman" w:hAnsi="Times New Roman" w:cs="Times New Roman"/>
            </w:rPr>
            <w:fldChar w:fldCharType="end"/>
          </w:r>
        </w:sdtContent>
      </w:sdt>
      <w:r w:rsidR="000A0B43" w:rsidRPr="000B71BC">
        <w:rPr>
          <w:rFonts w:ascii="Times New Roman" w:hAnsi="Times New Roman" w:cs="Times New Roman"/>
        </w:rPr>
        <w:t xml:space="preserve"> </w:t>
      </w:r>
      <w:r w:rsidR="004C3495" w:rsidRPr="000B71BC">
        <w:rPr>
          <w:rFonts w:ascii="Times New Roman" w:hAnsi="Times New Roman" w:cs="Times New Roman"/>
        </w:rPr>
        <w:t xml:space="preserve"> </w:t>
      </w:r>
      <w:r w:rsidR="004C3495">
        <w:rPr>
          <w:rFonts w:ascii="Times New Roman" w:hAnsi="Times New Roman" w:cs="Times New Roman"/>
        </w:rPr>
        <w:t>b</w:t>
      </w:r>
      <w:r w:rsidR="000A0B43" w:rsidRPr="000B71BC">
        <w:rPr>
          <w:rFonts w:ascii="Times New Roman" w:hAnsi="Times New Roman" w:cs="Times New Roman"/>
        </w:rPr>
        <w:t xml:space="preserve">asada en </w:t>
      </w:r>
      <w:r w:rsidR="002E0763" w:rsidRPr="000B71BC">
        <w:rPr>
          <w:rFonts w:ascii="Times New Roman" w:hAnsi="Times New Roman" w:cs="Times New Roman"/>
        </w:rPr>
        <w:t>la</w:t>
      </w:r>
      <w:r w:rsidR="000A0B43" w:rsidRPr="000B71BC">
        <w:rPr>
          <w:rFonts w:ascii="Times New Roman" w:hAnsi="Times New Roman" w:cs="Times New Roman"/>
        </w:rPr>
        <w:t xml:space="preserve"> model</w:t>
      </w:r>
      <w:r w:rsidR="002E0763" w:rsidRPr="000B71BC">
        <w:rPr>
          <w:rFonts w:ascii="Times New Roman" w:hAnsi="Times New Roman" w:cs="Times New Roman"/>
        </w:rPr>
        <w:t>ización</w:t>
      </w:r>
      <w:r w:rsidR="000A0B43" w:rsidRPr="000B71BC">
        <w:rPr>
          <w:rFonts w:ascii="Times New Roman" w:hAnsi="Times New Roman" w:cs="Times New Roman"/>
        </w:rPr>
        <w:t xml:space="preserve"> desarrollad</w:t>
      </w:r>
      <w:r w:rsidR="002E0763" w:rsidRPr="000B71BC">
        <w:rPr>
          <w:rFonts w:ascii="Times New Roman" w:hAnsi="Times New Roman" w:cs="Times New Roman"/>
        </w:rPr>
        <w:t>a</w:t>
      </w:r>
      <w:r w:rsidR="000A0B43" w:rsidRPr="000B71BC">
        <w:rPr>
          <w:rFonts w:ascii="Times New Roman" w:hAnsi="Times New Roman" w:cs="Times New Roman"/>
        </w:rPr>
        <w:t xml:space="preserve"> por Ohlson</w:t>
      </w:r>
      <w:r w:rsidR="002E0763" w:rsidRPr="000B71BC">
        <w:rPr>
          <w:rFonts w:ascii="Times New Roman" w:hAnsi="Times New Roman" w:cs="Times New Roman"/>
        </w:rPr>
        <w:t xml:space="preserve"> (1995).</w:t>
      </w:r>
      <w:r w:rsidR="004C3495">
        <w:rPr>
          <w:rStyle w:val="Refdecomentario"/>
        </w:rPr>
        <w:t xml:space="preserve"> </w:t>
      </w:r>
      <w:r w:rsidR="004C3495" w:rsidRPr="000B71BC">
        <w:rPr>
          <w:rFonts w:ascii="Times New Roman" w:hAnsi="Times New Roman" w:cs="Times New Roman"/>
        </w:rPr>
        <w:t xml:space="preserve"> </w:t>
      </w:r>
      <w:r w:rsidR="004C3495">
        <w:rPr>
          <w:rFonts w:ascii="Times New Roman" w:hAnsi="Times New Roman" w:cs="Times New Roman"/>
        </w:rPr>
        <w:t>S</w:t>
      </w:r>
      <w:r w:rsidR="002E0763" w:rsidRPr="000B71BC">
        <w:rPr>
          <w:rFonts w:ascii="Times New Roman" w:hAnsi="Times New Roman" w:cs="Times New Roman"/>
        </w:rPr>
        <w:t>e estimar</w:t>
      </w:r>
      <w:r w:rsidRPr="000B71BC">
        <w:rPr>
          <w:rFonts w:ascii="Times New Roman" w:hAnsi="Times New Roman" w:cs="Times New Roman"/>
        </w:rPr>
        <w:t>o</w:t>
      </w:r>
      <w:r w:rsidR="002E0763" w:rsidRPr="000B71BC">
        <w:rPr>
          <w:rFonts w:ascii="Times New Roman" w:hAnsi="Times New Roman" w:cs="Times New Roman"/>
        </w:rPr>
        <w:t xml:space="preserve">n </w:t>
      </w:r>
      <w:r w:rsidRPr="000B71BC">
        <w:rPr>
          <w:rFonts w:ascii="Times New Roman" w:hAnsi="Times New Roman" w:cs="Times New Roman"/>
        </w:rPr>
        <w:t>tres</w:t>
      </w:r>
      <w:r w:rsidR="000A0B43" w:rsidRPr="000B71BC">
        <w:rPr>
          <w:rFonts w:ascii="Times New Roman" w:hAnsi="Times New Roman" w:cs="Times New Roman"/>
        </w:rPr>
        <w:t xml:space="preserve"> modelos</w:t>
      </w:r>
      <w:r w:rsidR="002E0763" w:rsidRPr="000B71BC">
        <w:rPr>
          <w:rFonts w:ascii="Times New Roman" w:hAnsi="Times New Roman" w:cs="Times New Roman"/>
        </w:rPr>
        <w:t>,</w:t>
      </w:r>
      <w:r w:rsidR="000A0B43" w:rsidRPr="000B71BC">
        <w:rPr>
          <w:rFonts w:ascii="Times New Roman" w:hAnsi="Times New Roman" w:cs="Times New Roman"/>
        </w:rPr>
        <w:t xml:space="preserve"> </w:t>
      </w:r>
      <w:r w:rsidR="002E0763" w:rsidRPr="000B71BC">
        <w:rPr>
          <w:rFonts w:ascii="Times New Roman" w:hAnsi="Times New Roman" w:cs="Times New Roman"/>
        </w:rPr>
        <w:t>e</w:t>
      </w:r>
      <w:r w:rsidR="000A0B43" w:rsidRPr="000B71BC">
        <w:rPr>
          <w:rFonts w:ascii="Times New Roman" w:hAnsi="Times New Roman" w:cs="Times New Roman"/>
        </w:rPr>
        <w:t>n el primero</w:t>
      </w:r>
      <w:r w:rsidRPr="000B71BC">
        <w:rPr>
          <w:rFonts w:ascii="Times New Roman" w:hAnsi="Times New Roman" w:cs="Times New Roman"/>
        </w:rPr>
        <w:t xml:space="preserve"> –correspondiente a los estados financieros del año 2011</w:t>
      </w:r>
      <w:r w:rsidR="00916FD6">
        <w:rPr>
          <w:rFonts w:ascii="Times New Roman" w:hAnsi="Times New Roman" w:cs="Times New Roman"/>
        </w:rPr>
        <w:t xml:space="preserve"> elaborados en base a la normativa local</w:t>
      </w:r>
      <w:r w:rsidRPr="000B71BC">
        <w:rPr>
          <w:rFonts w:ascii="Times New Roman" w:hAnsi="Times New Roman" w:cs="Times New Roman"/>
        </w:rPr>
        <w:t>-</w:t>
      </w:r>
      <w:r w:rsidR="000A0B43" w:rsidRPr="000B71BC">
        <w:rPr>
          <w:rFonts w:ascii="Times New Roman" w:hAnsi="Times New Roman" w:cs="Times New Roman"/>
        </w:rPr>
        <w:t xml:space="preserve">, la variable dependiente es el precio de cotización de la acción y las variables independientes son el patrimonio neto y el resultado </w:t>
      </w:r>
      <w:r w:rsidRPr="000B71BC">
        <w:rPr>
          <w:rFonts w:ascii="Times New Roman" w:hAnsi="Times New Roman" w:cs="Times New Roman"/>
        </w:rPr>
        <w:t>del ejercicio</w:t>
      </w:r>
      <w:r w:rsidR="000A0B43" w:rsidRPr="000B71BC">
        <w:rPr>
          <w:rFonts w:ascii="Times New Roman" w:hAnsi="Times New Roman" w:cs="Times New Roman"/>
        </w:rPr>
        <w:t>. En el segundo modelo</w:t>
      </w:r>
      <w:r w:rsidRPr="000B71BC">
        <w:rPr>
          <w:rFonts w:ascii="Times New Roman" w:hAnsi="Times New Roman" w:cs="Times New Roman"/>
        </w:rPr>
        <w:t xml:space="preserve"> -correspondiente a los estados financieros del año 2018</w:t>
      </w:r>
      <w:r w:rsidR="00916FD6">
        <w:rPr>
          <w:rFonts w:ascii="Times New Roman" w:hAnsi="Times New Roman" w:cs="Times New Roman"/>
        </w:rPr>
        <w:t xml:space="preserve"> elaborados en base a NIIF</w:t>
      </w:r>
      <w:r w:rsidRPr="000B71BC">
        <w:rPr>
          <w:rFonts w:ascii="Times New Roman" w:hAnsi="Times New Roman" w:cs="Times New Roman"/>
        </w:rPr>
        <w:t>-</w:t>
      </w:r>
      <w:r w:rsidR="000A0B43" w:rsidRPr="000B71BC">
        <w:rPr>
          <w:rFonts w:ascii="Times New Roman" w:hAnsi="Times New Roman" w:cs="Times New Roman"/>
        </w:rPr>
        <w:t xml:space="preserve"> se reemplaza el resultado </w:t>
      </w:r>
      <w:r w:rsidRPr="000B71BC">
        <w:rPr>
          <w:rFonts w:ascii="Times New Roman" w:hAnsi="Times New Roman" w:cs="Times New Roman"/>
        </w:rPr>
        <w:t xml:space="preserve">del ejercicio por el resultado integral; y en la tercera modelización se sustituye el resultado integral </w:t>
      </w:r>
      <w:r w:rsidR="000A0B43" w:rsidRPr="000B71BC">
        <w:rPr>
          <w:rFonts w:ascii="Times New Roman" w:hAnsi="Times New Roman" w:cs="Times New Roman"/>
        </w:rPr>
        <w:t xml:space="preserve">por sus dos componentes: </w:t>
      </w:r>
      <w:r w:rsidR="00916FD6">
        <w:rPr>
          <w:rFonts w:ascii="Times New Roman" w:hAnsi="Times New Roman" w:cs="Times New Roman"/>
        </w:rPr>
        <w:t xml:space="preserve">el </w:t>
      </w:r>
      <w:r w:rsidR="000A0B43" w:rsidRPr="000B71BC">
        <w:rPr>
          <w:rFonts w:ascii="Times New Roman" w:hAnsi="Times New Roman" w:cs="Times New Roman"/>
        </w:rPr>
        <w:t>resultado del ejercicio y otros resultados integrales.</w:t>
      </w:r>
      <w:r w:rsidR="008961DE" w:rsidRPr="000B71BC">
        <w:rPr>
          <w:rFonts w:ascii="Times New Roman" w:hAnsi="Times New Roman" w:cs="Times New Roman"/>
        </w:rPr>
        <w:t xml:space="preserve"> </w:t>
      </w:r>
    </w:p>
    <w:p w14:paraId="6DC37478" w14:textId="44347482" w:rsidR="00E77C92" w:rsidRDefault="002E0763" w:rsidP="00E3211F">
      <w:pPr>
        <w:spacing w:line="360" w:lineRule="auto"/>
        <w:ind w:firstLine="709"/>
        <w:jc w:val="both"/>
        <w:rPr>
          <w:rFonts w:ascii="Times New Roman" w:hAnsi="Times New Roman" w:cs="Times New Roman"/>
        </w:rPr>
      </w:pPr>
      <w:r w:rsidRPr="000B71BC">
        <w:rPr>
          <w:rFonts w:ascii="Times New Roman" w:hAnsi="Times New Roman" w:cs="Times New Roman"/>
        </w:rPr>
        <w:t xml:space="preserve">Los resultados indican </w:t>
      </w:r>
      <w:r w:rsidR="000A0B43" w:rsidRPr="000B71BC">
        <w:rPr>
          <w:rFonts w:ascii="Times New Roman" w:hAnsi="Times New Roman" w:cs="Times New Roman"/>
        </w:rPr>
        <w:t>que s</w:t>
      </w:r>
      <w:r w:rsidRPr="000B71BC">
        <w:rPr>
          <w:rFonts w:ascii="Times New Roman" w:hAnsi="Times New Roman" w:cs="Times New Roman"/>
        </w:rPr>
        <w:t>olamente</w:t>
      </w:r>
      <w:r w:rsidR="000A0B43" w:rsidRPr="000B71BC">
        <w:rPr>
          <w:rFonts w:ascii="Times New Roman" w:hAnsi="Times New Roman" w:cs="Times New Roman"/>
        </w:rPr>
        <w:t xml:space="preserve"> la </w:t>
      </w:r>
      <w:proofErr w:type="gramStart"/>
      <w:r w:rsidR="000A0B43" w:rsidRPr="000B71BC">
        <w:rPr>
          <w:rFonts w:ascii="Times New Roman" w:hAnsi="Times New Roman" w:cs="Times New Roman"/>
        </w:rPr>
        <w:t>variable</w:t>
      </w:r>
      <w:r w:rsidR="0008403D" w:rsidRPr="000B71BC">
        <w:rPr>
          <w:rFonts w:ascii="Times New Roman" w:hAnsi="Times New Roman" w:cs="Times New Roman"/>
        </w:rPr>
        <w:t xml:space="preserve"> </w:t>
      </w:r>
      <w:r w:rsidR="000A0B43" w:rsidRPr="000B71BC">
        <w:rPr>
          <w:rFonts w:ascii="Times New Roman" w:eastAsia="Times New Roman" w:hAnsi="Times New Roman" w:cs="Times New Roman"/>
        </w:rPr>
        <w:t>resultado</w:t>
      </w:r>
      <w:proofErr w:type="gramEnd"/>
      <w:r w:rsidR="000A0B43" w:rsidRPr="000B71BC">
        <w:rPr>
          <w:rFonts w:ascii="Times New Roman" w:eastAsia="Times New Roman" w:hAnsi="Times New Roman" w:cs="Times New Roman"/>
        </w:rPr>
        <w:t xml:space="preserve"> del ejercicio </w:t>
      </w:r>
      <w:r w:rsidR="000A0B43" w:rsidRPr="000B71BC">
        <w:rPr>
          <w:rFonts w:ascii="Times New Roman" w:hAnsi="Times New Roman" w:cs="Times New Roman"/>
        </w:rPr>
        <w:t xml:space="preserve">posee relevancia valorativa y es utilizada por los inversores en sus modelos decisorios respecto a los ejercicios económicos iniciados durante </w:t>
      </w:r>
      <w:r w:rsidR="00893A5F" w:rsidRPr="000B71BC">
        <w:rPr>
          <w:rFonts w:ascii="Times New Roman" w:hAnsi="Times New Roman" w:cs="Times New Roman"/>
        </w:rPr>
        <w:t>los</w:t>
      </w:r>
      <w:r w:rsidR="000A0B43" w:rsidRPr="000B71BC">
        <w:rPr>
          <w:rFonts w:ascii="Times New Roman" w:hAnsi="Times New Roman" w:cs="Times New Roman"/>
        </w:rPr>
        <w:t xml:space="preserve"> año</w:t>
      </w:r>
      <w:r w:rsidR="00893A5F" w:rsidRPr="000B71BC">
        <w:rPr>
          <w:rFonts w:ascii="Times New Roman" w:hAnsi="Times New Roman" w:cs="Times New Roman"/>
        </w:rPr>
        <w:t>s 2011 y</w:t>
      </w:r>
      <w:r w:rsidR="000A0B43" w:rsidRPr="000B71BC">
        <w:rPr>
          <w:rFonts w:ascii="Times New Roman" w:hAnsi="Times New Roman" w:cs="Times New Roman"/>
        </w:rPr>
        <w:t xml:space="preserve"> 2018</w:t>
      </w:r>
      <w:r w:rsidR="00B96997" w:rsidRPr="000B71BC">
        <w:rPr>
          <w:rFonts w:ascii="Times New Roman" w:hAnsi="Times New Roman" w:cs="Times New Roman"/>
        </w:rPr>
        <w:t xml:space="preserve">, mientras que </w:t>
      </w:r>
      <w:r w:rsidR="000A0B43" w:rsidRPr="000B71BC">
        <w:rPr>
          <w:rFonts w:ascii="Times New Roman" w:hAnsi="Times New Roman" w:cs="Times New Roman"/>
        </w:rPr>
        <w:t xml:space="preserve">las variables resultado integral y </w:t>
      </w:r>
      <w:r w:rsidR="000A0B43" w:rsidRPr="000B71BC">
        <w:rPr>
          <w:rFonts w:ascii="Times New Roman" w:eastAsia="Times New Roman" w:hAnsi="Times New Roman" w:cs="Times New Roman"/>
        </w:rPr>
        <w:t>otros resultados integrales</w:t>
      </w:r>
      <w:r w:rsidR="000A0B43" w:rsidRPr="000B71BC">
        <w:rPr>
          <w:rFonts w:ascii="Times New Roman" w:hAnsi="Times New Roman" w:cs="Times New Roman"/>
        </w:rPr>
        <w:t xml:space="preserve"> no </w:t>
      </w:r>
      <w:r w:rsidR="00B96997" w:rsidRPr="000B71BC">
        <w:rPr>
          <w:rFonts w:ascii="Times New Roman" w:hAnsi="Times New Roman" w:cs="Times New Roman"/>
        </w:rPr>
        <w:t>poseen significatividad para los inversores</w:t>
      </w:r>
      <w:r w:rsidRPr="000B71BC">
        <w:rPr>
          <w:rFonts w:ascii="Times New Roman" w:hAnsi="Times New Roman" w:cs="Times New Roman"/>
        </w:rPr>
        <w:t xml:space="preserve"> del mercado de valores argentino.</w:t>
      </w:r>
    </w:p>
    <w:p w14:paraId="16E8BFB6" w14:textId="02EBF2A6" w:rsidR="00E3211F" w:rsidRPr="00E3211F" w:rsidRDefault="00E3211F" w:rsidP="00E3211F">
      <w:pPr>
        <w:spacing w:line="360" w:lineRule="auto"/>
        <w:jc w:val="both"/>
        <w:rPr>
          <w:rFonts w:ascii="Times New Roman" w:hAnsi="Times New Roman" w:cs="Times New Roman"/>
          <w:b/>
          <w:bCs/>
        </w:rPr>
      </w:pPr>
      <w:r w:rsidRPr="00E3211F">
        <w:rPr>
          <w:rFonts w:ascii="Times New Roman" w:hAnsi="Times New Roman" w:cs="Times New Roman"/>
          <w:b/>
          <w:bCs/>
        </w:rPr>
        <w:t>Referencias Bibliográficas</w:t>
      </w:r>
    </w:p>
    <w:sdt>
      <w:sdtPr>
        <w:rPr>
          <w:rFonts w:asciiTheme="minorHAnsi" w:eastAsiaTheme="minorHAnsi" w:hAnsiTheme="minorHAnsi" w:cstheme="minorBidi"/>
          <w:color w:val="auto"/>
          <w:sz w:val="22"/>
          <w:szCs w:val="22"/>
          <w:lang w:val="es-ES" w:eastAsia="en-US"/>
        </w:rPr>
        <w:id w:val="-1762679770"/>
        <w:docPartObj>
          <w:docPartGallery w:val="Bibliographies"/>
          <w:docPartUnique/>
        </w:docPartObj>
      </w:sdtPr>
      <w:sdtEndPr>
        <w:rPr>
          <w:rFonts w:ascii="Times New Roman" w:hAnsi="Times New Roman" w:cs="Times New Roman"/>
          <w:lang w:val="es-AR"/>
        </w:rPr>
      </w:sdtEndPr>
      <w:sdtContent>
        <w:p w14:paraId="01A93447" w14:textId="507DBBDF" w:rsidR="00E3211F" w:rsidRDefault="00E3211F">
          <w:pPr>
            <w:pStyle w:val="Ttulo1"/>
          </w:pPr>
        </w:p>
        <w:sdt>
          <w:sdtPr>
            <w:id w:val="-573587230"/>
            <w:bibliography/>
          </w:sdtPr>
          <w:sdtEndPr>
            <w:rPr>
              <w:rFonts w:ascii="Times New Roman" w:hAnsi="Times New Roman" w:cs="Times New Roman"/>
            </w:rPr>
          </w:sdtEndPr>
          <w:sdtContent>
            <w:p w14:paraId="3489537A" w14:textId="77777777" w:rsidR="00577AE2" w:rsidRPr="00577AE2" w:rsidRDefault="00E3211F" w:rsidP="00577AE2">
              <w:pPr>
                <w:pStyle w:val="Bibliografa"/>
                <w:jc w:val="both"/>
                <w:rPr>
                  <w:rFonts w:ascii="Times New Roman" w:hAnsi="Times New Roman" w:cs="Times New Roman"/>
                  <w:noProof/>
                  <w:sz w:val="24"/>
                  <w:szCs w:val="24"/>
                </w:rPr>
              </w:pPr>
              <w:r w:rsidRPr="00577AE2">
                <w:rPr>
                  <w:rFonts w:ascii="Times New Roman" w:hAnsi="Times New Roman" w:cs="Times New Roman"/>
                </w:rPr>
                <w:fldChar w:fldCharType="begin"/>
              </w:r>
              <w:r w:rsidRPr="00577AE2">
                <w:rPr>
                  <w:rFonts w:ascii="Times New Roman" w:hAnsi="Times New Roman" w:cs="Times New Roman"/>
                </w:rPr>
                <w:instrText>BIBLIOGRAPHY</w:instrText>
              </w:r>
              <w:r w:rsidRPr="00577AE2">
                <w:rPr>
                  <w:rFonts w:ascii="Times New Roman" w:hAnsi="Times New Roman" w:cs="Times New Roman"/>
                </w:rPr>
                <w:fldChar w:fldCharType="separate"/>
              </w:r>
              <w:r w:rsidR="00577AE2" w:rsidRPr="00577AE2">
                <w:rPr>
                  <w:rFonts w:ascii="Times New Roman" w:hAnsi="Times New Roman" w:cs="Times New Roman"/>
                  <w:noProof/>
                </w:rPr>
                <w:t xml:space="preserve">Barth, M. (2000). Valuation‐based accounting research: Implications for financial reporting and opportunities for future research. </w:t>
              </w:r>
              <w:r w:rsidR="00577AE2" w:rsidRPr="00577AE2">
                <w:rPr>
                  <w:rFonts w:ascii="Times New Roman" w:hAnsi="Times New Roman" w:cs="Times New Roman"/>
                  <w:i/>
                  <w:iCs/>
                  <w:noProof/>
                </w:rPr>
                <w:t>Accounting &amp; Finance</w:t>
              </w:r>
              <w:r w:rsidR="00577AE2" w:rsidRPr="00577AE2">
                <w:rPr>
                  <w:rFonts w:ascii="Times New Roman" w:hAnsi="Times New Roman" w:cs="Times New Roman"/>
                  <w:noProof/>
                </w:rPr>
                <w:t xml:space="preserve">, </w:t>
              </w:r>
              <w:r w:rsidR="00577AE2" w:rsidRPr="00577AE2">
                <w:rPr>
                  <w:rFonts w:ascii="Times New Roman" w:hAnsi="Times New Roman" w:cs="Times New Roman"/>
                  <w:i/>
                  <w:iCs/>
                  <w:noProof/>
                </w:rPr>
                <w:t>40</w:t>
              </w:r>
              <w:r w:rsidR="00577AE2" w:rsidRPr="00577AE2">
                <w:rPr>
                  <w:rFonts w:ascii="Times New Roman" w:hAnsi="Times New Roman" w:cs="Times New Roman"/>
                  <w:noProof/>
                </w:rPr>
                <w:t xml:space="preserve"> (1), 7-32. </w:t>
              </w:r>
            </w:p>
            <w:p w14:paraId="13543D67" w14:textId="625BAC0E" w:rsidR="00577AE2" w:rsidRPr="00577AE2" w:rsidRDefault="00577AE2" w:rsidP="00577AE2">
              <w:pPr>
                <w:pStyle w:val="Bibliografa"/>
                <w:jc w:val="both"/>
                <w:rPr>
                  <w:rFonts w:ascii="Times New Roman" w:hAnsi="Times New Roman" w:cs="Times New Roman"/>
                  <w:noProof/>
                </w:rPr>
              </w:pPr>
              <w:r w:rsidRPr="00577AE2">
                <w:rPr>
                  <w:rFonts w:ascii="Times New Roman" w:hAnsi="Times New Roman" w:cs="Times New Roman"/>
                  <w:noProof/>
                </w:rPr>
                <w:t xml:space="preserve">Clarkson, P., Douglas Hanna, J., Richardson, G. D., &amp; Thompson, R. (2011). The impact of IFRS adoption on the value relevance of book value and earnings. </w:t>
              </w:r>
              <w:r w:rsidRPr="00577AE2">
                <w:rPr>
                  <w:rFonts w:ascii="Times New Roman" w:hAnsi="Times New Roman" w:cs="Times New Roman"/>
                  <w:i/>
                  <w:iCs/>
                  <w:noProof/>
                </w:rPr>
                <w:t>Journal of Contemporary Accounting &amp; Economics</w:t>
              </w:r>
              <w:r w:rsidRPr="00577AE2">
                <w:rPr>
                  <w:rFonts w:ascii="Times New Roman" w:hAnsi="Times New Roman" w:cs="Times New Roman"/>
                  <w:noProof/>
                </w:rPr>
                <w:t xml:space="preserve">, </w:t>
              </w:r>
              <w:r w:rsidRPr="00577AE2">
                <w:rPr>
                  <w:rFonts w:ascii="Times New Roman" w:hAnsi="Times New Roman" w:cs="Times New Roman"/>
                  <w:i/>
                  <w:iCs/>
                  <w:noProof/>
                </w:rPr>
                <w:t>7</w:t>
              </w:r>
              <w:r w:rsidRPr="00577AE2">
                <w:rPr>
                  <w:rFonts w:ascii="Times New Roman" w:hAnsi="Times New Roman" w:cs="Times New Roman"/>
                  <w:noProof/>
                </w:rPr>
                <w:t xml:space="preserve"> (1), 1-17. https://doi.org/</w:t>
              </w:r>
              <w:hyperlink r:id="rId9" w:history="1">
                <w:r w:rsidRPr="00577AE2">
                  <w:rPr>
                    <w:rStyle w:val="Hipervnculo"/>
                    <w:rFonts w:ascii="Times New Roman" w:hAnsi="Times New Roman" w:cs="Times New Roman"/>
                    <w:noProof/>
                  </w:rPr>
                  <w:t>10.1016/j.jcae.2011.03.001</w:t>
                </w:r>
              </w:hyperlink>
            </w:p>
            <w:p w14:paraId="21C446E0" w14:textId="77777777" w:rsidR="00577AE2" w:rsidRPr="00577AE2" w:rsidRDefault="00577AE2" w:rsidP="00577AE2">
              <w:pPr>
                <w:pStyle w:val="Bibliografa"/>
                <w:jc w:val="both"/>
                <w:rPr>
                  <w:rFonts w:ascii="Times New Roman" w:hAnsi="Times New Roman" w:cs="Times New Roman"/>
                  <w:noProof/>
                </w:rPr>
              </w:pPr>
              <w:r w:rsidRPr="00577AE2">
                <w:rPr>
                  <w:rFonts w:ascii="Times New Roman" w:hAnsi="Times New Roman" w:cs="Times New Roman"/>
                  <w:noProof/>
                </w:rPr>
                <w:t xml:space="preserve">Cutillas-Gomariz, MF., Sanchez-Ballesta, J. P., &amp; Yagüe, J. (2016). The effetc of IFRS on net income and earnings components: value relevance, persistence, and predictive value. </w:t>
              </w:r>
              <w:r w:rsidRPr="00577AE2">
                <w:rPr>
                  <w:rFonts w:ascii="Times New Roman" w:hAnsi="Times New Roman" w:cs="Times New Roman"/>
                  <w:i/>
                  <w:iCs/>
                  <w:noProof/>
                </w:rPr>
                <w:t xml:space="preserve">Spanish Journal of Finance and Accounting </w:t>
              </w:r>
              <w:r w:rsidRPr="00577AE2">
                <w:rPr>
                  <w:rFonts w:ascii="Times New Roman" w:hAnsi="Times New Roman" w:cs="Times New Roman"/>
                  <w:noProof/>
                </w:rPr>
                <w:t xml:space="preserve">, </w:t>
              </w:r>
              <w:r w:rsidRPr="00577AE2">
                <w:rPr>
                  <w:rFonts w:ascii="Times New Roman" w:hAnsi="Times New Roman" w:cs="Times New Roman"/>
                  <w:i/>
                  <w:iCs/>
                  <w:noProof/>
                </w:rPr>
                <w:t>45</w:t>
              </w:r>
              <w:r w:rsidRPr="00577AE2">
                <w:rPr>
                  <w:rFonts w:ascii="Times New Roman" w:hAnsi="Times New Roman" w:cs="Times New Roman"/>
                  <w:noProof/>
                </w:rPr>
                <w:t xml:space="preserve"> (3), 365-388. </w:t>
              </w:r>
            </w:p>
            <w:p w14:paraId="01DFCA88" w14:textId="77777777" w:rsidR="00577AE2" w:rsidRPr="00577AE2" w:rsidRDefault="00577AE2" w:rsidP="00577AE2">
              <w:pPr>
                <w:pStyle w:val="Bibliografa"/>
                <w:jc w:val="both"/>
                <w:rPr>
                  <w:rFonts w:ascii="Times New Roman" w:hAnsi="Times New Roman" w:cs="Times New Roman"/>
                  <w:noProof/>
                </w:rPr>
              </w:pPr>
              <w:r w:rsidRPr="00577AE2">
                <w:rPr>
                  <w:rFonts w:ascii="Times New Roman" w:hAnsi="Times New Roman" w:cs="Times New Roman"/>
                  <w:noProof/>
                </w:rPr>
                <w:t xml:space="preserve">Eaton, T., Easterday, K., &amp; Rhodes, M. (2013). The presentation of odher comprehensive income. </w:t>
              </w:r>
              <w:r w:rsidRPr="00577AE2">
                <w:rPr>
                  <w:rFonts w:ascii="Times New Roman" w:hAnsi="Times New Roman" w:cs="Times New Roman"/>
                  <w:i/>
                  <w:iCs/>
                  <w:noProof/>
                </w:rPr>
                <w:t>The CPA Journal</w:t>
              </w:r>
              <w:r w:rsidRPr="00577AE2">
                <w:rPr>
                  <w:rFonts w:ascii="Times New Roman" w:hAnsi="Times New Roman" w:cs="Times New Roman"/>
                  <w:noProof/>
                </w:rPr>
                <w:t xml:space="preserve">, </w:t>
              </w:r>
              <w:r w:rsidRPr="00577AE2">
                <w:rPr>
                  <w:rFonts w:ascii="Times New Roman" w:hAnsi="Times New Roman" w:cs="Times New Roman"/>
                  <w:i/>
                  <w:iCs/>
                  <w:noProof/>
                </w:rPr>
                <w:t>3</w:t>
              </w:r>
              <w:r w:rsidRPr="00577AE2">
                <w:rPr>
                  <w:rFonts w:ascii="Times New Roman" w:hAnsi="Times New Roman" w:cs="Times New Roman"/>
                  <w:noProof/>
                </w:rPr>
                <w:t xml:space="preserve"> (83), 23-35. </w:t>
              </w:r>
            </w:p>
            <w:p w14:paraId="01697E01" w14:textId="77777777" w:rsidR="00577AE2" w:rsidRPr="00577AE2" w:rsidRDefault="00577AE2" w:rsidP="00577AE2">
              <w:pPr>
                <w:pStyle w:val="Bibliografa"/>
                <w:jc w:val="both"/>
                <w:rPr>
                  <w:rFonts w:ascii="Times New Roman" w:hAnsi="Times New Roman" w:cs="Times New Roman"/>
                  <w:noProof/>
                </w:rPr>
              </w:pPr>
              <w:r w:rsidRPr="00577AE2">
                <w:rPr>
                  <w:rFonts w:ascii="Times New Roman" w:hAnsi="Times New Roman" w:cs="Times New Roman"/>
                  <w:noProof/>
                </w:rPr>
                <w:t xml:space="preserve">Francis, J., LaFond, R., Olsson, P. M., &amp; Schipper, K. (2004). Costs of Equity and Earnings Attributes. </w:t>
              </w:r>
              <w:r w:rsidRPr="00577AE2">
                <w:rPr>
                  <w:rFonts w:ascii="Times New Roman" w:hAnsi="Times New Roman" w:cs="Times New Roman"/>
                  <w:i/>
                  <w:iCs/>
                  <w:noProof/>
                </w:rPr>
                <w:t>The Accounting Review</w:t>
              </w:r>
              <w:r w:rsidRPr="00577AE2">
                <w:rPr>
                  <w:rFonts w:ascii="Times New Roman" w:hAnsi="Times New Roman" w:cs="Times New Roman"/>
                  <w:noProof/>
                </w:rPr>
                <w:t xml:space="preserve">, </w:t>
              </w:r>
              <w:r w:rsidRPr="00577AE2">
                <w:rPr>
                  <w:rFonts w:ascii="Times New Roman" w:hAnsi="Times New Roman" w:cs="Times New Roman"/>
                  <w:i/>
                  <w:iCs/>
                  <w:noProof/>
                </w:rPr>
                <w:t>79</w:t>
              </w:r>
              <w:r w:rsidRPr="00577AE2">
                <w:rPr>
                  <w:rFonts w:ascii="Times New Roman" w:hAnsi="Times New Roman" w:cs="Times New Roman"/>
                  <w:noProof/>
                </w:rPr>
                <w:t xml:space="preserve"> (4), 967-1010. </w:t>
              </w:r>
            </w:p>
            <w:p w14:paraId="4713A17D" w14:textId="77777777" w:rsidR="00577AE2" w:rsidRPr="00577AE2" w:rsidRDefault="00577AE2" w:rsidP="00577AE2">
              <w:pPr>
                <w:pStyle w:val="Bibliografa"/>
                <w:jc w:val="both"/>
                <w:rPr>
                  <w:rFonts w:ascii="Times New Roman" w:hAnsi="Times New Roman" w:cs="Times New Roman"/>
                  <w:noProof/>
                </w:rPr>
              </w:pPr>
              <w:r w:rsidRPr="00577AE2">
                <w:rPr>
                  <w:rFonts w:ascii="Times New Roman" w:hAnsi="Times New Roman" w:cs="Times New Roman"/>
                  <w:noProof/>
                </w:rPr>
                <w:t xml:space="preserve">Giner , B. &amp; Reverte, C. (1999). The value relevance of earnings disagreggation provided in the Spanish profit and lost account. </w:t>
              </w:r>
              <w:r w:rsidRPr="00577AE2">
                <w:rPr>
                  <w:rFonts w:ascii="Times New Roman" w:hAnsi="Times New Roman" w:cs="Times New Roman"/>
                  <w:i/>
                  <w:iCs/>
                  <w:noProof/>
                </w:rPr>
                <w:t>European Accounting Review</w:t>
              </w:r>
              <w:r w:rsidRPr="00577AE2">
                <w:rPr>
                  <w:rFonts w:ascii="Times New Roman" w:hAnsi="Times New Roman" w:cs="Times New Roman"/>
                  <w:noProof/>
                </w:rPr>
                <w:t xml:space="preserve">, </w:t>
              </w:r>
              <w:r w:rsidRPr="00577AE2">
                <w:rPr>
                  <w:rFonts w:ascii="Times New Roman" w:hAnsi="Times New Roman" w:cs="Times New Roman"/>
                  <w:i/>
                  <w:iCs/>
                  <w:noProof/>
                </w:rPr>
                <w:t>4</w:t>
              </w:r>
              <w:r w:rsidRPr="00577AE2">
                <w:rPr>
                  <w:rFonts w:ascii="Times New Roman" w:hAnsi="Times New Roman" w:cs="Times New Roman"/>
                  <w:noProof/>
                </w:rPr>
                <w:t xml:space="preserve">, 609-629. </w:t>
              </w:r>
            </w:p>
            <w:p w14:paraId="572720EE" w14:textId="656EB586" w:rsidR="00577AE2" w:rsidRPr="00577AE2" w:rsidRDefault="00577AE2" w:rsidP="00577AE2">
              <w:pPr>
                <w:pStyle w:val="Bibliografa"/>
                <w:jc w:val="both"/>
                <w:rPr>
                  <w:rFonts w:ascii="Times New Roman" w:hAnsi="Times New Roman" w:cs="Times New Roman"/>
                  <w:noProof/>
                </w:rPr>
              </w:pPr>
              <w:r w:rsidRPr="00577AE2">
                <w:rPr>
                  <w:rFonts w:ascii="Times New Roman" w:hAnsi="Times New Roman" w:cs="Times New Roman"/>
                  <w:noProof/>
                </w:rPr>
                <w:t xml:space="preserve">Graham, R. C. &amp; Lin, K. (2018). The influence of other comprehensive income on discretionary expenditures. </w:t>
              </w:r>
              <w:r w:rsidRPr="00577AE2">
                <w:rPr>
                  <w:rFonts w:ascii="Times New Roman" w:hAnsi="Times New Roman" w:cs="Times New Roman"/>
                  <w:i/>
                  <w:iCs/>
                  <w:noProof/>
                </w:rPr>
                <w:t>Journal of Business Finance &amp; Accounting</w:t>
              </w:r>
              <w:r w:rsidRPr="00577AE2">
                <w:rPr>
                  <w:rFonts w:ascii="Times New Roman" w:hAnsi="Times New Roman" w:cs="Times New Roman"/>
                  <w:noProof/>
                </w:rPr>
                <w:t xml:space="preserve">, </w:t>
              </w:r>
              <w:r w:rsidRPr="00577AE2">
                <w:rPr>
                  <w:rFonts w:ascii="Times New Roman" w:hAnsi="Times New Roman" w:cs="Times New Roman"/>
                  <w:i/>
                  <w:iCs/>
                  <w:noProof/>
                </w:rPr>
                <w:t>45</w:t>
              </w:r>
              <w:r w:rsidRPr="00577AE2">
                <w:rPr>
                  <w:rFonts w:ascii="Times New Roman" w:hAnsi="Times New Roman" w:cs="Times New Roman"/>
                  <w:noProof/>
                </w:rPr>
                <w:t xml:space="preserve"> (1-2), 72-91. https://doi.org/</w:t>
              </w:r>
              <w:hyperlink r:id="rId10" w:history="1">
                <w:r w:rsidRPr="00577AE2">
                  <w:rPr>
                    <w:rStyle w:val="Hipervnculo"/>
                    <w:rFonts w:ascii="Times New Roman" w:hAnsi="Times New Roman" w:cs="Times New Roman"/>
                    <w:noProof/>
                  </w:rPr>
                  <w:t>https://doi.org/10.1111/jbfa.12284</w:t>
                </w:r>
              </w:hyperlink>
            </w:p>
            <w:p w14:paraId="1327201B" w14:textId="46EF30D9" w:rsidR="00577AE2" w:rsidRPr="00577AE2" w:rsidRDefault="00577AE2" w:rsidP="00577AE2">
              <w:pPr>
                <w:pStyle w:val="Bibliografa"/>
                <w:jc w:val="both"/>
                <w:rPr>
                  <w:rFonts w:ascii="Times New Roman" w:hAnsi="Times New Roman" w:cs="Times New Roman"/>
                  <w:noProof/>
                </w:rPr>
              </w:pPr>
              <w:r w:rsidRPr="00577AE2">
                <w:rPr>
                  <w:rFonts w:ascii="Times New Roman" w:hAnsi="Times New Roman" w:cs="Times New Roman"/>
                  <w:noProof/>
                </w:rPr>
                <w:lastRenderedPageBreak/>
                <w:t xml:space="preserve">International Financial Reporting Standards Foundation. (2020, 08 20). </w:t>
              </w:r>
              <w:r w:rsidRPr="00577AE2">
                <w:rPr>
                  <w:rFonts w:ascii="Times New Roman" w:hAnsi="Times New Roman" w:cs="Times New Roman"/>
                  <w:i/>
                  <w:iCs/>
                  <w:noProof/>
                </w:rPr>
                <w:t>ifrs.org</w:t>
              </w:r>
              <w:r w:rsidRPr="00577AE2">
                <w:rPr>
                  <w:rFonts w:ascii="Times New Roman" w:hAnsi="Times New Roman" w:cs="Times New Roman"/>
                  <w:noProof/>
                </w:rPr>
                <w:t xml:space="preserve">. </w:t>
              </w:r>
              <w:hyperlink r:id="rId11" w:history="1">
                <w:r w:rsidRPr="00577AE2">
                  <w:rPr>
                    <w:rStyle w:val="Hipervnculo"/>
                    <w:rFonts w:ascii="Times New Roman" w:hAnsi="Times New Roman" w:cs="Times New Roman"/>
                    <w:noProof/>
                  </w:rPr>
                  <w:t>https://cdn.ifrs.org/-/media/feature/about-us/legal-and-governance/constitution-docs/ifrs-foundation-constitution-2018.pdf?la=en</w:t>
                </w:r>
              </w:hyperlink>
            </w:p>
            <w:p w14:paraId="5F0776E3" w14:textId="77777777" w:rsidR="00577AE2" w:rsidRPr="00577AE2" w:rsidRDefault="00577AE2" w:rsidP="00577AE2">
              <w:pPr>
                <w:pStyle w:val="Bibliografa"/>
                <w:jc w:val="both"/>
                <w:rPr>
                  <w:rFonts w:ascii="Times New Roman" w:hAnsi="Times New Roman" w:cs="Times New Roman"/>
                  <w:noProof/>
                </w:rPr>
              </w:pPr>
              <w:r w:rsidRPr="00577AE2">
                <w:rPr>
                  <w:rFonts w:ascii="Times New Roman" w:hAnsi="Times New Roman" w:cs="Times New Roman"/>
                  <w:noProof/>
                </w:rPr>
                <w:t xml:space="preserve">Ohlson, J. A. (1995). Earnings, Book Values, and Dividends in Equity Valuation. </w:t>
              </w:r>
              <w:r w:rsidRPr="00577AE2">
                <w:rPr>
                  <w:rFonts w:ascii="Times New Roman" w:hAnsi="Times New Roman" w:cs="Times New Roman"/>
                  <w:i/>
                  <w:iCs/>
                  <w:noProof/>
                </w:rPr>
                <w:t>Contemporany Accounting Research</w:t>
              </w:r>
              <w:r w:rsidRPr="00577AE2">
                <w:rPr>
                  <w:rFonts w:ascii="Times New Roman" w:hAnsi="Times New Roman" w:cs="Times New Roman"/>
                  <w:noProof/>
                </w:rPr>
                <w:t xml:space="preserve">, </w:t>
              </w:r>
              <w:r w:rsidRPr="00577AE2">
                <w:rPr>
                  <w:rFonts w:ascii="Times New Roman" w:hAnsi="Times New Roman" w:cs="Times New Roman"/>
                  <w:i/>
                  <w:iCs/>
                  <w:noProof/>
                </w:rPr>
                <w:t>11</w:t>
              </w:r>
              <w:r w:rsidRPr="00577AE2">
                <w:rPr>
                  <w:rFonts w:ascii="Times New Roman" w:hAnsi="Times New Roman" w:cs="Times New Roman"/>
                  <w:noProof/>
                </w:rPr>
                <w:t xml:space="preserve"> (2), 661-687. </w:t>
              </w:r>
            </w:p>
            <w:p w14:paraId="3C68BC74" w14:textId="77777777" w:rsidR="00577AE2" w:rsidRPr="00577AE2" w:rsidRDefault="00577AE2" w:rsidP="00577AE2">
              <w:pPr>
                <w:pStyle w:val="Bibliografa"/>
                <w:jc w:val="both"/>
                <w:rPr>
                  <w:rFonts w:ascii="Times New Roman" w:hAnsi="Times New Roman" w:cs="Times New Roman"/>
                  <w:noProof/>
                </w:rPr>
              </w:pPr>
              <w:r w:rsidRPr="00577AE2">
                <w:rPr>
                  <w:rFonts w:ascii="Times New Roman" w:hAnsi="Times New Roman" w:cs="Times New Roman"/>
                  <w:noProof/>
                </w:rPr>
                <w:t xml:space="preserve">Serrat, N. A., Gutierrez, S. M., &amp; Perez, G. R. (2011). Relevancia valorativa del resultado global y sus componentes frente al resultado neto. </w:t>
              </w:r>
              <w:r w:rsidRPr="00577AE2">
                <w:rPr>
                  <w:rFonts w:ascii="Times New Roman" w:hAnsi="Times New Roman" w:cs="Times New Roman"/>
                  <w:i/>
                  <w:iCs/>
                  <w:noProof/>
                </w:rPr>
                <w:t>Revista de Contabilidad</w:t>
              </w:r>
              <w:r w:rsidRPr="00577AE2">
                <w:rPr>
                  <w:rFonts w:ascii="Times New Roman" w:hAnsi="Times New Roman" w:cs="Times New Roman"/>
                  <w:noProof/>
                </w:rPr>
                <w:t xml:space="preserve">, </w:t>
              </w:r>
              <w:r w:rsidRPr="00577AE2">
                <w:rPr>
                  <w:rFonts w:ascii="Times New Roman" w:hAnsi="Times New Roman" w:cs="Times New Roman"/>
                  <w:i/>
                  <w:iCs/>
                  <w:noProof/>
                </w:rPr>
                <w:t>14</w:t>
              </w:r>
              <w:r w:rsidRPr="00577AE2">
                <w:rPr>
                  <w:rFonts w:ascii="Times New Roman" w:hAnsi="Times New Roman" w:cs="Times New Roman"/>
                  <w:noProof/>
                </w:rPr>
                <w:t xml:space="preserve"> (2), 147-175. </w:t>
              </w:r>
            </w:p>
            <w:p w14:paraId="19128DC0" w14:textId="4CB046BA" w:rsidR="00577AE2" w:rsidRPr="00577AE2" w:rsidRDefault="00577AE2" w:rsidP="00577AE2">
              <w:pPr>
                <w:pStyle w:val="Bibliografa"/>
                <w:jc w:val="both"/>
                <w:rPr>
                  <w:rFonts w:ascii="Times New Roman" w:hAnsi="Times New Roman" w:cs="Times New Roman"/>
                  <w:noProof/>
                </w:rPr>
              </w:pPr>
              <w:r w:rsidRPr="00577AE2">
                <w:rPr>
                  <w:rFonts w:ascii="Times New Roman" w:hAnsi="Times New Roman" w:cs="Times New Roman"/>
                  <w:noProof/>
                </w:rPr>
                <w:t xml:space="preserve">Thesing, J. &amp; Velte, P. (2021). Do fair value measurements affect accounting-based earnings quality? A literature review with a focus on corporate governance as moderator. </w:t>
              </w:r>
              <w:r w:rsidRPr="00577AE2">
                <w:rPr>
                  <w:rFonts w:ascii="Times New Roman" w:hAnsi="Times New Roman" w:cs="Times New Roman"/>
                  <w:i/>
                  <w:iCs/>
                  <w:noProof/>
                </w:rPr>
                <w:t>Journal of Business Economics</w:t>
              </w:r>
              <w:r w:rsidRPr="00577AE2">
                <w:rPr>
                  <w:rFonts w:ascii="Times New Roman" w:hAnsi="Times New Roman" w:cs="Times New Roman"/>
                  <w:noProof/>
                </w:rPr>
                <w:t xml:space="preserve">, </w:t>
              </w:r>
              <w:r w:rsidRPr="00577AE2">
                <w:rPr>
                  <w:rFonts w:ascii="Times New Roman" w:hAnsi="Times New Roman" w:cs="Times New Roman"/>
                  <w:i/>
                  <w:iCs/>
                  <w:noProof/>
                </w:rPr>
                <w:t>91</w:t>
              </w:r>
              <w:r w:rsidRPr="00577AE2">
                <w:rPr>
                  <w:rFonts w:ascii="Times New Roman" w:hAnsi="Times New Roman" w:cs="Times New Roman"/>
                  <w:noProof/>
                </w:rPr>
                <w:t>, 965-1004. https://doi.org/</w:t>
              </w:r>
              <w:hyperlink r:id="rId12" w:history="1">
                <w:r w:rsidRPr="00577AE2">
                  <w:rPr>
                    <w:rStyle w:val="Hipervnculo"/>
                    <w:rFonts w:ascii="Times New Roman" w:hAnsi="Times New Roman" w:cs="Times New Roman"/>
                    <w:noProof/>
                  </w:rPr>
                  <w:t>10.1007/s11573-020-01025-6</w:t>
                </w:r>
              </w:hyperlink>
            </w:p>
            <w:p w14:paraId="534735CC" w14:textId="2A1D7848" w:rsidR="00E3211F" w:rsidRPr="00577AE2" w:rsidRDefault="00E3211F" w:rsidP="00577AE2">
              <w:pPr>
                <w:jc w:val="both"/>
                <w:rPr>
                  <w:rFonts w:ascii="Times New Roman" w:hAnsi="Times New Roman" w:cs="Times New Roman"/>
                </w:rPr>
              </w:pPr>
              <w:r w:rsidRPr="00577AE2">
                <w:rPr>
                  <w:rFonts w:ascii="Times New Roman" w:hAnsi="Times New Roman" w:cs="Times New Roman"/>
                  <w:b/>
                  <w:bCs/>
                </w:rPr>
                <w:fldChar w:fldCharType="end"/>
              </w:r>
            </w:p>
          </w:sdtContent>
        </w:sdt>
      </w:sdtContent>
    </w:sdt>
    <w:p w14:paraId="182940D7" w14:textId="77777777" w:rsidR="00E3211F" w:rsidRPr="00E3211F" w:rsidRDefault="00E3211F" w:rsidP="00E3211F">
      <w:pPr>
        <w:spacing w:line="360" w:lineRule="auto"/>
        <w:jc w:val="both"/>
        <w:rPr>
          <w:rFonts w:ascii="Times New Roman" w:hAnsi="Times New Roman" w:cs="Times New Roman"/>
        </w:rPr>
      </w:pPr>
    </w:p>
    <w:p w14:paraId="00160925" w14:textId="19A7420C" w:rsidR="004800E5" w:rsidRPr="000B71BC" w:rsidRDefault="004800E5" w:rsidP="000B71BC">
      <w:pPr>
        <w:jc w:val="both"/>
        <w:rPr>
          <w:rFonts w:ascii="Times New Roman" w:hAnsi="Times New Roman" w:cs="Times New Roman"/>
          <w:sz w:val="20"/>
          <w:szCs w:val="20"/>
        </w:rPr>
      </w:pPr>
    </w:p>
    <w:p w14:paraId="572C4463" w14:textId="77777777" w:rsidR="004800E5" w:rsidRPr="000B71BC" w:rsidRDefault="004800E5" w:rsidP="000B71BC">
      <w:pPr>
        <w:jc w:val="both"/>
        <w:rPr>
          <w:rFonts w:ascii="Times New Roman" w:hAnsi="Times New Roman" w:cs="Times New Roman"/>
          <w:b/>
          <w:sz w:val="20"/>
          <w:szCs w:val="20"/>
        </w:rPr>
      </w:pPr>
    </w:p>
    <w:sectPr w:rsidR="004800E5" w:rsidRPr="000B71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B8A"/>
    <w:rsid w:val="00041357"/>
    <w:rsid w:val="00050A8A"/>
    <w:rsid w:val="00051C9B"/>
    <w:rsid w:val="0008403D"/>
    <w:rsid w:val="000A0B43"/>
    <w:rsid w:val="000B71BC"/>
    <w:rsid w:val="000C1D8E"/>
    <w:rsid w:val="000E24B4"/>
    <w:rsid w:val="001277AD"/>
    <w:rsid w:val="001366BF"/>
    <w:rsid w:val="00163DFC"/>
    <w:rsid w:val="00164252"/>
    <w:rsid w:val="001A3BAD"/>
    <w:rsid w:val="001B71B7"/>
    <w:rsid w:val="001C71FF"/>
    <w:rsid w:val="001E75B7"/>
    <w:rsid w:val="00201532"/>
    <w:rsid w:val="00270CC0"/>
    <w:rsid w:val="002E0763"/>
    <w:rsid w:val="002F491C"/>
    <w:rsid w:val="00374817"/>
    <w:rsid w:val="00391A93"/>
    <w:rsid w:val="003A0697"/>
    <w:rsid w:val="003C5B25"/>
    <w:rsid w:val="003D34DE"/>
    <w:rsid w:val="00402F55"/>
    <w:rsid w:val="00413C29"/>
    <w:rsid w:val="004404A5"/>
    <w:rsid w:val="00456CE8"/>
    <w:rsid w:val="004800E5"/>
    <w:rsid w:val="004C3495"/>
    <w:rsid w:val="004E02D4"/>
    <w:rsid w:val="00557D68"/>
    <w:rsid w:val="00577AE2"/>
    <w:rsid w:val="0058702C"/>
    <w:rsid w:val="0061142A"/>
    <w:rsid w:val="00674F25"/>
    <w:rsid w:val="00677B8A"/>
    <w:rsid w:val="00684863"/>
    <w:rsid w:val="00694138"/>
    <w:rsid w:val="0069795E"/>
    <w:rsid w:val="006A190A"/>
    <w:rsid w:val="006B5736"/>
    <w:rsid w:val="006E013C"/>
    <w:rsid w:val="007D5683"/>
    <w:rsid w:val="007E3C84"/>
    <w:rsid w:val="008635B0"/>
    <w:rsid w:val="0087606F"/>
    <w:rsid w:val="00893A5F"/>
    <w:rsid w:val="0089472A"/>
    <w:rsid w:val="008961DE"/>
    <w:rsid w:val="008B0F81"/>
    <w:rsid w:val="008B122F"/>
    <w:rsid w:val="008E4034"/>
    <w:rsid w:val="00916FD6"/>
    <w:rsid w:val="00966562"/>
    <w:rsid w:val="00977E30"/>
    <w:rsid w:val="009A1459"/>
    <w:rsid w:val="009B7EDF"/>
    <w:rsid w:val="00A17A8F"/>
    <w:rsid w:val="00A50EE3"/>
    <w:rsid w:val="00A80E2E"/>
    <w:rsid w:val="00AD5D73"/>
    <w:rsid w:val="00B6427E"/>
    <w:rsid w:val="00B96556"/>
    <w:rsid w:val="00B96997"/>
    <w:rsid w:val="00BC604E"/>
    <w:rsid w:val="00BF32D1"/>
    <w:rsid w:val="00C410F0"/>
    <w:rsid w:val="00C62506"/>
    <w:rsid w:val="00C813D2"/>
    <w:rsid w:val="00CA430A"/>
    <w:rsid w:val="00D14374"/>
    <w:rsid w:val="00D33EC9"/>
    <w:rsid w:val="00D55A60"/>
    <w:rsid w:val="00D8379E"/>
    <w:rsid w:val="00D977FA"/>
    <w:rsid w:val="00DB7DEB"/>
    <w:rsid w:val="00DF38C3"/>
    <w:rsid w:val="00E257FD"/>
    <w:rsid w:val="00E3211F"/>
    <w:rsid w:val="00E77C92"/>
    <w:rsid w:val="00EE1B3F"/>
    <w:rsid w:val="00EE64D6"/>
    <w:rsid w:val="00F07F29"/>
    <w:rsid w:val="00F23905"/>
    <w:rsid w:val="00F46522"/>
    <w:rsid w:val="00F93A60"/>
    <w:rsid w:val="00FB1E6A"/>
    <w:rsid w:val="00FB1EE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43CEB"/>
  <w15:chartTrackingRefBased/>
  <w15:docId w15:val="{31B00DBF-9D8C-4F61-B2AF-14B4E258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800E5"/>
    <w:pPr>
      <w:keepNext/>
      <w:keepLines/>
      <w:spacing w:before="240" w:after="0"/>
      <w:outlineLvl w:val="0"/>
    </w:pPr>
    <w:rPr>
      <w:rFonts w:asciiTheme="majorHAnsi" w:eastAsiaTheme="majorEastAsia" w:hAnsiTheme="majorHAnsi" w:cstheme="majorBidi"/>
      <w:color w:val="2F5496" w:themeColor="accent1" w:themeShade="BF"/>
      <w:sz w:val="32"/>
      <w:szCs w:val="32"/>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01532"/>
    <w:rPr>
      <w:color w:val="0563C1" w:themeColor="hyperlink"/>
      <w:u w:val="single"/>
    </w:rPr>
  </w:style>
  <w:style w:type="paragraph" w:styleId="NormalWeb">
    <w:name w:val="Normal (Web)"/>
    <w:basedOn w:val="Normal"/>
    <w:uiPriority w:val="99"/>
    <w:unhideWhenUsed/>
    <w:rsid w:val="0020153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tulo1Car">
    <w:name w:val="Título 1 Car"/>
    <w:basedOn w:val="Fuentedeprrafopredeter"/>
    <w:link w:val="Ttulo1"/>
    <w:uiPriority w:val="9"/>
    <w:rsid w:val="004800E5"/>
    <w:rPr>
      <w:rFonts w:asciiTheme="majorHAnsi" w:eastAsiaTheme="majorEastAsia" w:hAnsiTheme="majorHAnsi" w:cstheme="majorBidi"/>
      <w:color w:val="2F5496" w:themeColor="accent1" w:themeShade="BF"/>
      <w:sz w:val="32"/>
      <w:szCs w:val="32"/>
      <w:lang w:eastAsia="es-AR"/>
    </w:rPr>
  </w:style>
  <w:style w:type="paragraph" w:styleId="Bibliografa">
    <w:name w:val="Bibliography"/>
    <w:basedOn w:val="Normal"/>
    <w:next w:val="Normal"/>
    <w:uiPriority w:val="37"/>
    <w:unhideWhenUsed/>
    <w:rsid w:val="004800E5"/>
  </w:style>
  <w:style w:type="character" w:styleId="Refdecomentario">
    <w:name w:val="annotation reference"/>
    <w:basedOn w:val="Fuentedeprrafopredeter"/>
    <w:uiPriority w:val="99"/>
    <w:semiHidden/>
    <w:unhideWhenUsed/>
    <w:rsid w:val="001B71B7"/>
    <w:rPr>
      <w:sz w:val="16"/>
      <w:szCs w:val="16"/>
    </w:rPr>
  </w:style>
  <w:style w:type="paragraph" w:styleId="Textocomentario">
    <w:name w:val="annotation text"/>
    <w:basedOn w:val="Normal"/>
    <w:link w:val="TextocomentarioCar"/>
    <w:uiPriority w:val="99"/>
    <w:semiHidden/>
    <w:unhideWhenUsed/>
    <w:rsid w:val="001B71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71B7"/>
    <w:rPr>
      <w:sz w:val="20"/>
      <w:szCs w:val="20"/>
    </w:rPr>
  </w:style>
  <w:style w:type="paragraph" w:styleId="Asuntodelcomentario">
    <w:name w:val="annotation subject"/>
    <w:basedOn w:val="Textocomentario"/>
    <w:next w:val="Textocomentario"/>
    <w:link w:val="AsuntodelcomentarioCar"/>
    <w:uiPriority w:val="99"/>
    <w:semiHidden/>
    <w:unhideWhenUsed/>
    <w:rsid w:val="001B71B7"/>
    <w:rPr>
      <w:b/>
      <w:bCs/>
    </w:rPr>
  </w:style>
  <w:style w:type="character" w:customStyle="1" w:styleId="AsuntodelcomentarioCar">
    <w:name w:val="Asunto del comentario Car"/>
    <w:basedOn w:val="TextocomentarioCar"/>
    <w:link w:val="Asuntodelcomentario"/>
    <w:uiPriority w:val="99"/>
    <w:semiHidden/>
    <w:rsid w:val="001B71B7"/>
    <w:rPr>
      <w:b/>
      <w:bCs/>
      <w:sz w:val="20"/>
      <w:szCs w:val="20"/>
    </w:rPr>
  </w:style>
  <w:style w:type="paragraph" w:styleId="Textodeglobo">
    <w:name w:val="Balloon Text"/>
    <w:basedOn w:val="Normal"/>
    <w:link w:val="TextodegloboCar"/>
    <w:uiPriority w:val="99"/>
    <w:semiHidden/>
    <w:unhideWhenUsed/>
    <w:rsid w:val="001B71B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71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9422">
      <w:bodyDiv w:val="1"/>
      <w:marLeft w:val="0"/>
      <w:marRight w:val="0"/>
      <w:marTop w:val="0"/>
      <w:marBottom w:val="0"/>
      <w:divBdr>
        <w:top w:val="none" w:sz="0" w:space="0" w:color="auto"/>
        <w:left w:val="none" w:sz="0" w:space="0" w:color="auto"/>
        <w:bottom w:val="none" w:sz="0" w:space="0" w:color="auto"/>
        <w:right w:val="none" w:sz="0" w:space="0" w:color="auto"/>
      </w:divBdr>
    </w:div>
    <w:div w:id="61106853">
      <w:bodyDiv w:val="1"/>
      <w:marLeft w:val="0"/>
      <w:marRight w:val="0"/>
      <w:marTop w:val="0"/>
      <w:marBottom w:val="0"/>
      <w:divBdr>
        <w:top w:val="none" w:sz="0" w:space="0" w:color="auto"/>
        <w:left w:val="none" w:sz="0" w:space="0" w:color="auto"/>
        <w:bottom w:val="none" w:sz="0" w:space="0" w:color="auto"/>
        <w:right w:val="none" w:sz="0" w:space="0" w:color="auto"/>
      </w:divBdr>
    </w:div>
    <w:div w:id="72434966">
      <w:bodyDiv w:val="1"/>
      <w:marLeft w:val="0"/>
      <w:marRight w:val="0"/>
      <w:marTop w:val="0"/>
      <w:marBottom w:val="0"/>
      <w:divBdr>
        <w:top w:val="none" w:sz="0" w:space="0" w:color="auto"/>
        <w:left w:val="none" w:sz="0" w:space="0" w:color="auto"/>
        <w:bottom w:val="none" w:sz="0" w:space="0" w:color="auto"/>
        <w:right w:val="none" w:sz="0" w:space="0" w:color="auto"/>
      </w:divBdr>
    </w:div>
    <w:div w:id="85346290">
      <w:bodyDiv w:val="1"/>
      <w:marLeft w:val="0"/>
      <w:marRight w:val="0"/>
      <w:marTop w:val="0"/>
      <w:marBottom w:val="0"/>
      <w:divBdr>
        <w:top w:val="none" w:sz="0" w:space="0" w:color="auto"/>
        <w:left w:val="none" w:sz="0" w:space="0" w:color="auto"/>
        <w:bottom w:val="none" w:sz="0" w:space="0" w:color="auto"/>
        <w:right w:val="none" w:sz="0" w:space="0" w:color="auto"/>
      </w:divBdr>
    </w:div>
    <w:div w:id="88082025">
      <w:bodyDiv w:val="1"/>
      <w:marLeft w:val="0"/>
      <w:marRight w:val="0"/>
      <w:marTop w:val="0"/>
      <w:marBottom w:val="0"/>
      <w:divBdr>
        <w:top w:val="none" w:sz="0" w:space="0" w:color="auto"/>
        <w:left w:val="none" w:sz="0" w:space="0" w:color="auto"/>
        <w:bottom w:val="none" w:sz="0" w:space="0" w:color="auto"/>
        <w:right w:val="none" w:sz="0" w:space="0" w:color="auto"/>
      </w:divBdr>
    </w:div>
    <w:div w:id="122969272">
      <w:bodyDiv w:val="1"/>
      <w:marLeft w:val="0"/>
      <w:marRight w:val="0"/>
      <w:marTop w:val="0"/>
      <w:marBottom w:val="0"/>
      <w:divBdr>
        <w:top w:val="none" w:sz="0" w:space="0" w:color="auto"/>
        <w:left w:val="none" w:sz="0" w:space="0" w:color="auto"/>
        <w:bottom w:val="none" w:sz="0" w:space="0" w:color="auto"/>
        <w:right w:val="none" w:sz="0" w:space="0" w:color="auto"/>
      </w:divBdr>
    </w:div>
    <w:div w:id="125633091">
      <w:bodyDiv w:val="1"/>
      <w:marLeft w:val="0"/>
      <w:marRight w:val="0"/>
      <w:marTop w:val="0"/>
      <w:marBottom w:val="0"/>
      <w:divBdr>
        <w:top w:val="none" w:sz="0" w:space="0" w:color="auto"/>
        <w:left w:val="none" w:sz="0" w:space="0" w:color="auto"/>
        <w:bottom w:val="none" w:sz="0" w:space="0" w:color="auto"/>
        <w:right w:val="none" w:sz="0" w:space="0" w:color="auto"/>
      </w:divBdr>
    </w:div>
    <w:div w:id="144593235">
      <w:bodyDiv w:val="1"/>
      <w:marLeft w:val="0"/>
      <w:marRight w:val="0"/>
      <w:marTop w:val="0"/>
      <w:marBottom w:val="0"/>
      <w:divBdr>
        <w:top w:val="none" w:sz="0" w:space="0" w:color="auto"/>
        <w:left w:val="none" w:sz="0" w:space="0" w:color="auto"/>
        <w:bottom w:val="none" w:sz="0" w:space="0" w:color="auto"/>
        <w:right w:val="none" w:sz="0" w:space="0" w:color="auto"/>
      </w:divBdr>
    </w:div>
    <w:div w:id="144780158">
      <w:bodyDiv w:val="1"/>
      <w:marLeft w:val="0"/>
      <w:marRight w:val="0"/>
      <w:marTop w:val="0"/>
      <w:marBottom w:val="0"/>
      <w:divBdr>
        <w:top w:val="none" w:sz="0" w:space="0" w:color="auto"/>
        <w:left w:val="none" w:sz="0" w:space="0" w:color="auto"/>
        <w:bottom w:val="none" w:sz="0" w:space="0" w:color="auto"/>
        <w:right w:val="none" w:sz="0" w:space="0" w:color="auto"/>
      </w:divBdr>
    </w:div>
    <w:div w:id="157969061">
      <w:bodyDiv w:val="1"/>
      <w:marLeft w:val="0"/>
      <w:marRight w:val="0"/>
      <w:marTop w:val="0"/>
      <w:marBottom w:val="0"/>
      <w:divBdr>
        <w:top w:val="none" w:sz="0" w:space="0" w:color="auto"/>
        <w:left w:val="none" w:sz="0" w:space="0" w:color="auto"/>
        <w:bottom w:val="none" w:sz="0" w:space="0" w:color="auto"/>
        <w:right w:val="none" w:sz="0" w:space="0" w:color="auto"/>
      </w:divBdr>
    </w:div>
    <w:div w:id="218714893">
      <w:bodyDiv w:val="1"/>
      <w:marLeft w:val="0"/>
      <w:marRight w:val="0"/>
      <w:marTop w:val="0"/>
      <w:marBottom w:val="0"/>
      <w:divBdr>
        <w:top w:val="none" w:sz="0" w:space="0" w:color="auto"/>
        <w:left w:val="none" w:sz="0" w:space="0" w:color="auto"/>
        <w:bottom w:val="none" w:sz="0" w:space="0" w:color="auto"/>
        <w:right w:val="none" w:sz="0" w:space="0" w:color="auto"/>
      </w:divBdr>
    </w:div>
    <w:div w:id="226654447">
      <w:bodyDiv w:val="1"/>
      <w:marLeft w:val="0"/>
      <w:marRight w:val="0"/>
      <w:marTop w:val="0"/>
      <w:marBottom w:val="0"/>
      <w:divBdr>
        <w:top w:val="none" w:sz="0" w:space="0" w:color="auto"/>
        <w:left w:val="none" w:sz="0" w:space="0" w:color="auto"/>
        <w:bottom w:val="none" w:sz="0" w:space="0" w:color="auto"/>
        <w:right w:val="none" w:sz="0" w:space="0" w:color="auto"/>
      </w:divBdr>
    </w:div>
    <w:div w:id="257447551">
      <w:bodyDiv w:val="1"/>
      <w:marLeft w:val="0"/>
      <w:marRight w:val="0"/>
      <w:marTop w:val="0"/>
      <w:marBottom w:val="0"/>
      <w:divBdr>
        <w:top w:val="none" w:sz="0" w:space="0" w:color="auto"/>
        <w:left w:val="none" w:sz="0" w:space="0" w:color="auto"/>
        <w:bottom w:val="none" w:sz="0" w:space="0" w:color="auto"/>
        <w:right w:val="none" w:sz="0" w:space="0" w:color="auto"/>
      </w:divBdr>
    </w:div>
    <w:div w:id="300383525">
      <w:bodyDiv w:val="1"/>
      <w:marLeft w:val="0"/>
      <w:marRight w:val="0"/>
      <w:marTop w:val="0"/>
      <w:marBottom w:val="0"/>
      <w:divBdr>
        <w:top w:val="none" w:sz="0" w:space="0" w:color="auto"/>
        <w:left w:val="none" w:sz="0" w:space="0" w:color="auto"/>
        <w:bottom w:val="none" w:sz="0" w:space="0" w:color="auto"/>
        <w:right w:val="none" w:sz="0" w:space="0" w:color="auto"/>
      </w:divBdr>
    </w:div>
    <w:div w:id="368453431">
      <w:bodyDiv w:val="1"/>
      <w:marLeft w:val="0"/>
      <w:marRight w:val="0"/>
      <w:marTop w:val="0"/>
      <w:marBottom w:val="0"/>
      <w:divBdr>
        <w:top w:val="none" w:sz="0" w:space="0" w:color="auto"/>
        <w:left w:val="none" w:sz="0" w:space="0" w:color="auto"/>
        <w:bottom w:val="none" w:sz="0" w:space="0" w:color="auto"/>
        <w:right w:val="none" w:sz="0" w:space="0" w:color="auto"/>
      </w:divBdr>
    </w:div>
    <w:div w:id="402987698">
      <w:bodyDiv w:val="1"/>
      <w:marLeft w:val="0"/>
      <w:marRight w:val="0"/>
      <w:marTop w:val="0"/>
      <w:marBottom w:val="0"/>
      <w:divBdr>
        <w:top w:val="none" w:sz="0" w:space="0" w:color="auto"/>
        <w:left w:val="none" w:sz="0" w:space="0" w:color="auto"/>
        <w:bottom w:val="none" w:sz="0" w:space="0" w:color="auto"/>
        <w:right w:val="none" w:sz="0" w:space="0" w:color="auto"/>
      </w:divBdr>
    </w:div>
    <w:div w:id="421687281">
      <w:bodyDiv w:val="1"/>
      <w:marLeft w:val="0"/>
      <w:marRight w:val="0"/>
      <w:marTop w:val="0"/>
      <w:marBottom w:val="0"/>
      <w:divBdr>
        <w:top w:val="none" w:sz="0" w:space="0" w:color="auto"/>
        <w:left w:val="none" w:sz="0" w:space="0" w:color="auto"/>
        <w:bottom w:val="none" w:sz="0" w:space="0" w:color="auto"/>
        <w:right w:val="none" w:sz="0" w:space="0" w:color="auto"/>
      </w:divBdr>
    </w:div>
    <w:div w:id="476802633">
      <w:bodyDiv w:val="1"/>
      <w:marLeft w:val="0"/>
      <w:marRight w:val="0"/>
      <w:marTop w:val="0"/>
      <w:marBottom w:val="0"/>
      <w:divBdr>
        <w:top w:val="none" w:sz="0" w:space="0" w:color="auto"/>
        <w:left w:val="none" w:sz="0" w:space="0" w:color="auto"/>
        <w:bottom w:val="none" w:sz="0" w:space="0" w:color="auto"/>
        <w:right w:val="none" w:sz="0" w:space="0" w:color="auto"/>
      </w:divBdr>
    </w:div>
    <w:div w:id="527914705">
      <w:bodyDiv w:val="1"/>
      <w:marLeft w:val="0"/>
      <w:marRight w:val="0"/>
      <w:marTop w:val="0"/>
      <w:marBottom w:val="0"/>
      <w:divBdr>
        <w:top w:val="none" w:sz="0" w:space="0" w:color="auto"/>
        <w:left w:val="none" w:sz="0" w:space="0" w:color="auto"/>
        <w:bottom w:val="none" w:sz="0" w:space="0" w:color="auto"/>
        <w:right w:val="none" w:sz="0" w:space="0" w:color="auto"/>
      </w:divBdr>
    </w:div>
    <w:div w:id="528570737">
      <w:bodyDiv w:val="1"/>
      <w:marLeft w:val="0"/>
      <w:marRight w:val="0"/>
      <w:marTop w:val="0"/>
      <w:marBottom w:val="0"/>
      <w:divBdr>
        <w:top w:val="none" w:sz="0" w:space="0" w:color="auto"/>
        <w:left w:val="none" w:sz="0" w:space="0" w:color="auto"/>
        <w:bottom w:val="none" w:sz="0" w:space="0" w:color="auto"/>
        <w:right w:val="none" w:sz="0" w:space="0" w:color="auto"/>
      </w:divBdr>
    </w:div>
    <w:div w:id="677465117">
      <w:bodyDiv w:val="1"/>
      <w:marLeft w:val="0"/>
      <w:marRight w:val="0"/>
      <w:marTop w:val="0"/>
      <w:marBottom w:val="0"/>
      <w:divBdr>
        <w:top w:val="none" w:sz="0" w:space="0" w:color="auto"/>
        <w:left w:val="none" w:sz="0" w:space="0" w:color="auto"/>
        <w:bottom w:val="none" w:sz="0" w:space="0" w:color="auto"/>
        <w:right w:val="none" w:sz="0" w:space="0" w:color="auto"/>
      </w:divBdr>
    </w:div>
    <w:div w:id="689643143">
      <w:bodyDiv w:val="1"/>
      <w:marLeft w:val="0"/>
      <w:marRight w:val="0"/>
      <w:marTop w:val="0"/>
      <w:marBottom w:val="0"/>
      <w:divBdr>
        <w:top w:val="none" w:sz="0" w:space="0" w:color="auto"/>
        <w:left w:val="none" w:sz="0" w:space="0" w:color="auto"/>
        <w:bottom w:val="none" w:sz="0" w:space="0" w:color="auto"/>
        <w:right w:val="none" w:sz="0" w:space="0" w:color="auto"/>
      </w:divBdr>
    </w:div>
    <w:div w:id="732967951">
      <w:bodyDiv w:val="1"/>
      <w:marLeft w:val="0"/>
      <w:marRight w:val="0"/>
      <w:marTop w:val="0"/>
      <w:marBottom w:val="0"/>
      <w:divBdr>
        <w:top w:val="none" w:sz="0" w:space="0" w:color="auto"/>
        <w:left w:val="none" w:sz="0" w:space="0" w:color="auto"/>
        <w:bottom w:val="none" w:sz="0" w:space="0" w:color="auto"/>
        <w:right w:val="none" w:sz="0" w:space="0" w:color="auto"/>
      </w:divBdr>
    </w:div>
    <w:div w:id="752699317">
      <w:bodyDiv w:val="1"/>
      <w:marLeft w:val="0"/>
      <w:marRight w:val="0"/>
      <w:marTop w:val="0"/>
      <w:marBottom w:val="0"/>
      <w:divBdr>
        <w:top w:val="none" w:sz="0" w:space="0" w:color="auto"/>
        <w:left w:val="none" w:sz="0" w:space="0" w:color="auto"/>
        <w:bottom w:val="none" w:sz="0" w:space="0" w:color="auto"/>
        <w:right w:val="none" w:sz="0" w:space="0" w:color="auto"/>
      </w:divBdr>
    </w:div>
    <w:div w:id="809173716">
      <w:bodyDiv w:val="1"/>
      <w:marLeft w:val="0"/>
      <w:marRight w:val="0"/>
      <w:marTop w:val="0"/>
      <w:marBottom w:val="0"/>
      <w:divBdr>
        <w:top w:val="none" w:sz="0" w:space="0" w:color="auto"/>
        <w:left w:val="none" w:sz="0" w:space="0" w:color="auto"/>
        <w:bottom w:val="none" w:sz="0" w:space="0" w:color="auto"/>
        <w:right w:val="none" w:sz="0" w:space="0" w:color="auto"/>
      </w:divBdr>
    </w:div>
    <w:div w:id="881480841">
      <w:bodyDiv w:val="1"/>
      <w:marLeft w:val="0"/>
      <w:marRight w:val="0"/>
      <w:marTop w:val="0"/>
      <w:marBottom w:val="0"/>
      <w:divBdr>
        <w:top w:val="none" w:sz="0" w:space="0" w:color="auto"/>
        <w:left w:val="none" w:sz="0" w:space="0" w:color="auto"/>
        <w:bottom w:val="none" w:sz="0" w:space="0" w:color="auto"/>
        <w:right w:val="none" w:sz="0" w:space="0" w:color="auto"/>
      </w:divBdr>
    </w:div>
    <w:div w:id="909539835">
      <w:bodyDiv w:val="1"/>
      <w:marLeft w:val="0"/>
      <w:marRight w:val="0"/>
      <w:marTop w:val="0"/>
      <w:marBottom w:val="0"/>
      <w:divBdr>
        <w:top w:val="none" w:sz="0" w:space="0" w:color="auto"/>
        <w:left w:val="none" w:sz="0" w:space="0" w:color="auto"/>
        <w:bottom w:val="none" w:sz="0" w:space="0" w:color="auto"/>
        <w:right w:val="none" w:sz="0" w:space="0" w:color="auto"/>
      </w:divBdr>
    </w:div>
    <w:div w:id="976880137">
      <w:bodyDiv w:val="1"/>
      <w:marLeft w:val="0"/>
      <w:marRight w:val="0"/>
      <w:marTop w:val="0"/>
      <w:marBottom w:val="0"/>
      <w:divBdr>
        <w:top w:val="none" w:sz="0" w:space="0" w:color="auto"/>
        <w:left w:val="none" w:sz="0" w:space="0" w:color="auto"/>
        <w:bottom w:val="none" w:sz="0" w:space="0" w:color="auto"/>
        <w:right w:val="none" w:sz="0" w:space="0" w:color="auto"/>
      </w:divBdr>
    </w:div>
    <w:div w:id="994915281">
      <w:bodyDiv w:val="1"/>
      <w:marLeft w:val="0"/>
      <w:marRight w:val="0"/>
      <w:marTop w:val="0"/>
      <w:marBottom w:val="0"/>
      <w:divBdr>
        <w:top w:val="none" w:sz="0" w:space="0" w:color="auto"/>
        <w:left w:val="none" w:sz="0" w:space="0" w:color="auto"/>
        <w:bottom w:val="none" w:sz="0" w:space="0" w:color="auto"/>
        <w:right w:val="none" w:sz="0" w:space="0" w:color="auto"/>
      </w:divBdr>
    </w:div>
    <w:div w:id="1009865380">
      <w:bodyDiv w:val="1"/>
      <w:marLeft w:val="0"/>
      <w:marRight w:val="0"/>
      <w:marTop w:val="0"/>
      <w:marBottom w:val="0"/>
      <w:divBdr>
        <w:top w:val="none" w:sz="0" w:space="0" w:color="auto"/>
        <w:left w:val="none" w:sz="0" w:space="0" w:color="auto"/>
        <w:bottom w:val="none" w:sz="0" w:space="0" w:color="auto"/>
        <w:right w:val="none" w:sz="0" w:space="0" w:color="auto"/>
      </w:divBdr>
    </w:div>
    <w:div w:id="1031347311">
      <w:bodyDiv w:val="1"/>
      <w:marLeft w:val="0"/>
      <w:marRight w:val="0"/>
      <w:marTop w:val="0"/>
      <w:marBottom w:val="0"/>
      <w:divBdr>
        <w:top w:val="none" w:sz="0" w:space="0" w:color="auto"/>
        <w:left w:val="none" w:sz="0" w:space="0" w:color="auto"/>
        <w:bottom w:val="none" w:sz="0" w:space="0" w:color="auto"/>
        <w:right w:val="none" w:sz="0" w:space="0" w:color="auto"/>
      </w:divBdr>
    </w:div>
    <w:div w:id="1043597739">
      <w:bodyDiv w:val="1"/>
      <w:marLeft w:val="0"/>
      <w:marRight w:val="0"/>
      <w:marTop w:val="0"/>
      <w:marBottom w:val="0"/>
      <w:divBdr>
        <w:top w:val="none" w:sz="0" w:space="0" w:color="auto"/>
        <w:left w:val="none" w:sz="0" w:space="0" w:color="auto"/>
        <w:bottom w:val="none" w:sz="0" w:space="0" w:color="auto"/>
        <w:right w:val="none" w:sz="0" w:space="0" w:color="auto"/>
      </w:divBdr>
    </w:div>
    <w:div w:id="1059746886">
      <w:bodyDiv w:val="1"/>
      <w:marLeft w:val="0"/>
      <w:marRight w:val="0"/>
      <w:marTop w:val="0"/>
      <w:marBottom w:val="0"/>
      <w:divBdr>
        <w:top w:val="none" w:sz="0" w:space="0" w:color="auto"/>
        <w:left w:val="none" w:sz="0" w:space="0" w:color="auto"/>
        <w:bottom w:val="none" w:sz="0" w:space="0" w:color="auto"/>
        <w:right w:val="none" w:sz="0" w:space="0" w:color="auto"/>
      </w:divBdr>
    </w:div>
    <w:div w:id="1108499508">
      <w:bodyDiv w:val="1"/>
      <w:marLeft w:val="0"/>
      <w:marRight w:val="0"/>
      <w:marTop w:val="0"/>
      <w:marBottom w:val="0"/>
      <w:divBdr>
        <w:top w:val="none" w:sz="0" w:space="0" w:color="auto"/>
        <w:left w:val="none" w:sz="0" w:space="0" w:color="auto"/>
        <w:bottom w:val="none" w:sz="0" w:space="0" w:color="auto"/>
        <w:right w:val="none" w:sz="0" w:space="0" w:color="auto"/>
      </w:divBdr>
    </w:div>
    <w:div w:id="1123230632">
      <w:bodyDiv w:val="1"/>
      <w:marLeft w:val="0"/>
      <w:marRight w:val="0"/>
      <w:marTop w:val="0"/>
      <w:marBottom w:val="0"/>
      <w:divBdr>
        <w:top w:val="none" w:sz="0" w:space="0" w:color="auto"/>
        <w:left w:val="none" w:sz="0" w:space="0" w:color="auto"/>
        <w:bottom w:val="none" w:sz="0" w:space="0" w:color="auto"/>
        <w:right w:val="none" w:sz="0" w:space="0" w:color="auto"/>
      </w:divBdr>
    </w:div>
    <w:div w:id="1145204120">
      <w:bodyDiv w:val="1"/>
      <w:marLeft w:val="0"/>
      <w:marRight w:val="0"/>
      <w:marTop w:val="0"/>
      <w:marBottom w:val="0"/>
      <w:divBdr>
        <w:top w:val="none" w:sz="0" w:space="0" w:color="auto"/>
        <w:left w:val="none" w:sz="0" w:space="0" w:color="auto"/>
        <w:bottom w:val="none" w:sz="0" w:space="0" w:color="auto"/>
        <w:right w:val="none" w:sz="0" w:space="0" w:color="auto"/>
      </w:divBdr>
    </w:div>
    <w:div w:id="1180924338">
      <w:bodyDiv w:val="1"/>
      <w:marLeft w:val="0"/>
      <w:marRight w:val="0"/>
      <w:marTop w:val="0"/>
      <w:marBottom w:val="0"/>
      <w:divBdr>
        <w:top w:val="none" w:sz="0" w:space="0" w:color="auto"/>
        <w:left w:val="none" w:sz="0" w:space="0" w:color="auto"/>
        <w:bottom w:val="none" w:sz="0" w:space="0" w:color="auto"/>
        <w:right w:val="none" w:sz="0" w:space="0" w:color="auto"/>
      </w:divBdr>
    </w:div>
    <w:div w:id="1222134880">
      <w:bodyDiv w:val="1"/>
      <w:marLeft w:val="0"/>
      <w:marRight w:val="0"/>
      <w:marTop w:val="0"/>
      <w:marBottom w:val="0"/>
      <w:divBdr>
        <w:top w:val="none" w:sz="0" w:space="0" w:color="auto"/>
        <w:left w:val="none" w:sz="0" w:space="0" w:color="auto"/>
        <w:bottom w:val="none" w:sz="0" w:space="0" w:color="auto"/>
        <w:right w:val="none" w:sz="0" w:space="0" w:color="auto"/>
      </w:divBdr>
    </w:div>
    <w:div w:id="1273050156">
      <w:bodyDiv w:val="1"/>
      <w:marLeft w:val="0"/>
      <w:marRight w:val="0"/>
      <w:marTop w:val="0"/>
      <w:marBottom w:val="0"/>
      <w:divBdr>
        <w:top w:val="none" w:sz="0" w:space="0" w:color="auto"/>
        <w:left w:val="none" w:sz="0" w:space="0" w:color="auto"/>
        <w:bottom w:val="none" w:sz="0" w:space="0" w:color="auto"/>
        <w:right w:val="none" w:sz="0" w:space="0" w:color="auto"/>
      </w:divBdr>
    </w:div>
    <w:div w:id="1283417077">
      <w:bodyDiv w:val="1"/>
      <w:marLeft w:val="0"/>
      <w:marRight w:val="0"/>
      <w:marTop w:val="0"/>
      <w:marBottom w:val="0"/>
      <w:divBdr>
        <w:top w:val="none" w:sz="0" w:space="0" w:color="auto"/>
        <w:left w:val="none" w:sz="0" w:space="0" w:color="auto"/>
        <w:bottom w:val="none" w:sz="0" w:space="0" w:color="auto"/>
        <w:right w:val="none" w:sz="0" w:space="0" w:color="auto"/>
      </w:divBdr>
    </w:div>
    <w:div w:id="1297293807">
      <w:bodyDiv w:val="1"/>
      <w:marLeft w:val="0"/>
      <w:marRight w:val="0"/>
      <w:marTop w:val="0"/>
      <w:marBottom w:val="0"/>
      <w:divBdr>
        <w:top w:val="none" w:sz="0" w:space="0" w:color="auto"/>
        <w:left w:val="none" w:sz="0" w:space="0" w:color="auto"/>
        <w:bottom w:val="none" w:sz="0" w:space="0" w:color="auto"/>
        <w:right w:val="none" w:sz="0" w:space="0" w:color="auto"/>
      </w:divBdr>
    </w:div>
    <w:div w:id="1306202820">
      <w:bodyDiv w:val="1"/>
      <w:marLeft w:val="0"/>
      <w:marRight w:val="0"/>
      <w:marTop w:val="0"/>
      <w:marBottom w:val="0"/>
      <w:divBdr>
        <w:top w:val="none" w:sz="0" w:space="0" w:color="auto"/>
        <w:left w:val="none" w:sz="0" w:space="0" w:color="auto"/>
        <w:bottom w:val="none" w:sz="0" w:space="0" w:color="auto"/>
        <w:right w:val="none" w:sz="0" w:space="0" w:color="auto"/>
      </w:divBdr>
    </w:div>
    <w:div w:id="1317109135">
      <w:bodyDiv w:val="1"/>
      <w:marLeft w:val="0"/>
      <w:marRight w:val="0"/>
      <w:marTop w:val="0"/>
      <w:marBottom w:val="0"/>
      <w:divBdr>
        <w:top w:val="none" w:sz="0" w:space="0" w:color="auto"/>
        <w:left w:val="none" w:sz="0" w:space="0" w:color="auto"/>
        <w:bottom w:val="none" w:sz="0" w:space="0" w:color="auto"/>
        <w:right w:val="none" w:sz="0" w:space="0" w:color="auto"/>
      </w:divBdr>
    </w:div>
    <w:div w:id="1349990299">
      <w:bodyDiv w:val="1"/>
      <w:marLeft w:val="0"/>
      <w:marRight w:val="0"/>
      <w:marTop w:val="0"/>
      <w:marBottom w:val="0"/>
      <w:divBdr>
        <w:top w:val="none" w:sz="0" w:space="0" w:color="auto"/>
        <w:left w:val="none" w:sz="0" w:space="0" w:color="auto"/>
        <w:bottom w:val="none" w:sz="0" w:space="0" w:color="auto"/>
        <w:right w:val="none" w:sz="0" w:space="0" w:color="auto"/>
      </w:divBdr>
    </w:div>
    <w:div w:id="1350327076">
      <w:bodyDiv w:val="1"/>
      <w:marLeft w:val="0"/>
      <w:marRight w:val="0"/>
      <w:marTop w:val="0"/>
      <w:marBottom w:val="0"/>
      <w:divBdr>
        <w:top w:val="none" w:sz="0" w:space="0" w:color="auto"/>
        <w:left w:val="none" w:sz="0" w:space="0" w:color="auto"/>
        <w:bottom w:val="none" w:sz="0" w:space="0" w:color="auto"/>
        <w:right w:val="none" w:sz="0" w:space="0" w:color="auto"/>
      </w:divBdr>
    </w:div>
    <w:div w:id="1391266231">
      <w:bodyDiv w:val="1"/>
      <w:marLeft w:val="0"/>
      <w:marRight w:val="0"/>
      <w:marTop w:val="0"/>
      <w:marBottom w:val="0"/>
      <w:divBdr>
        <w:top w:val="none" w:sz="0" w:space="0" w:color="auto"/>
        <w:left w:val="none" w:sz="0" w:space="0" w:color="auto"/>
        <w:bottom w:val="none" w:sz="0" w:space="0" w:color="auto"/>
        <w:right w:val="none" w:sz="0" w:space="0" w:color="auto"/>
      </w:divBdr>
    </w:div>
    <w:div w:id="1430271889">
      <w:bodyDiv w:val="1"/>
      <w:marLeft w:val="0"/>
      <w:marRight w:val="0"/>
      <w:marTop w:val="0"/>
      <w:marBottom w:val="0"/>
      <w:divBdr>
        <w:top w:val="none" w:sz="0" w:space="0" w:color="auto"/>
        <w:left w:val="none" w:sz="0" w:space="0" w:color="auto"/>
        <w:bottom w:val="none" w:sz="0" w:space="0" w:color="auto"/>
        <w:right w:val="none" w:sz="0" w:space="0" w:color="auto"/>
      </w:divBdr>
    </w:div>
    <w:div w:id="1480809507">
      <w:bodyDiv w:val="1"/>
      <w:marLeft w:val="0"/>
      <w:marRight w:val="0"/>
      <w:marTop w:val="0"/>
      <w:marBottom w:val="0"/>
      <w:divBdr>
        <w:top w:val="none" w:sz="0" w:space="0" w:color="auto"/>
        <w:left w:val="none" w:sz="0" w:space="0" w:color="auto"/>
        <w:bottom w:val="none" w:sz="0" w:space="0" w:color="auto"/>
        <w:right w:val="none" w:sz="0" w:space="0" w:color="auto"/>
      </w:divBdr>
    </w:div>
    <w:div w:id="1513454040">
      <w:bodyDiv w:val="1"/>
      <w:marLeft w:val="0"/>
      <w:marRight w:val="0"/>
      <w:marTop w:val="0"/>
      <w:marBottom w:val="0"/>
      <w:divBdr>
        <w:top w:val="none" w:sz="0" w:space="0" w:color="auto"/>
        <w:left w:val="none" w:sz="0" w:space="0" w:color="auto"/>
        <w:bottom w:val="none" w:sz="0" w:space="0" w:color="auto"/>
        <w:right w:val="none" w:sz="0" w:space="0" w:color="auto"/>
      </w:divBdr>
    </w:div>
    <w:div w:id="1537084202">
      <w:bodyDiv w:val="1"/>
      <w:marLeft w:val="0"/>
      <w:marRight w:val="0"/>
      <w:marTop w:val="0"/>
      <w:marBottom w:val="0"/>
      <w:divBdr>
        <w:top w:val="none" w:sz="0" w:space="0" w:color="auto"/>
        <w:left w:val="none" w:sz="0" w:space="0" w:color="auto"/>
        <w:bottom w:val="none" w:sz="0" w:space="0" w:color="auto"/>
        <w:right w:val="none" w:sz="0" w:space="0" w:color="auto"/>
      </w:divBdr>
    </w:div>
    <w:div w:id="1578126430">
      <w:bodyDiv w:val="1"/>
      <w:marLeft w:val="0"/>
      <w:marRight w:val="0"/>
      <w:marTop w:val="0"/>
      <w:marBottom w:val="0"/>
      <w:divBdr>
        <w:top w:val="none" w:sz="0" w:space="0" w:color="auto"/>
        <w:left w:val="none" w:sz="0" w:space="0" w:color="auto"/>
        <w:bottom w:val="none" w:sz="0" w:space="0" w:color="auto"/>
        <w:right w:val="none" w:sz="0" w:space="0" w:color="auto"/>
      </w:divBdr>
    </w:div>
    <w:div w:id="1604529812">
      <w:bodyDiv w:val="1"/>
      <w:marLeft w:val="0"/>
      <w:marRight w:val="0"/>
      <w:marTop w:val="0"/>
      <w:marBottom w:val="0"/>
      <w:divBdr>
        <w:top w:val="none" w:sz="0" w:space="0" w:color="auto"/>
        <w:left w:val="none" w:sz="0" w:space="0" w:color="auto"/>
        <w:bottom w:val="none" w:sz="0" w:space="0" w:color="auto"/>
        <w:right w:val="none" w:sz="0" w:space="0" w:color="auto"/>
      </w:divBdr>
    </w:div>
    <w:div w:id="1636762969">
      <w:bodyDiv w:val="1"/>
      <w:marLeft w:val="0"/>
      <w:marRight w:val="0"/>
      <w:marTop w:val="0"/>
      <w:marBottom w:val="0"/>
      <w:divBdr>
        <w:top w:val="none" w:sz="0" w:space="0" w:color="auto"/>
        <w:left w:val="none" w:sz="0" w:space="0" w:color="auto"/>
        <w:bottom w:val="none" w:sz="0" w:space="0" w:color="auto"/>
        <w:right w:val="none" w:sz="0" w:space="0" w:color="auto"/>
      </w:divBdr>
    </w:div>
    <w:div w:id="1637879125">
      <w:bodyDiv w:val="1"/>
      <w:marLeft w:val="0"/>
      <w:marRight w:val="0"/>
      <w:marTop w:val="0"/>
      <w:marBottom w:val="0"/>
      <w:divBdr>
        <w:top w:val="none" w:sz="0" w:space="0" w:color="auto"/>
        <w:left w:val="none" w:sz="0" w:space="0" w:color="auto"/>
        <w:bottom w:val="none" w:sz="0" w:space="0" w:color="auto"/>
        <w:right w:val="none" w:sz="0" w:space="0" w:color="auto"/>
      </w:divBdr>
    </w:div>
    <w:div w:id="1671174092">
      <w:bodyDiv w:val="1"/>
      <w:marLeft w:val="0"/>
      <w:marRight w:val="0"/>
      <w:marTop w:val="0"/>
      <w:marBottom w:val="0"/>
      <w:divBdr>
        <w:top w:val="none" w:sz="0" w:space="0" w:color="auto"/>
        <w:left w:val="none" w:sz="0" w:space="0" w:color="auto"/>
        <w:bottom w:val="none" w:sz="0" w:space="0" w:color="auto"/>
        <w:right w:val="none" w:sz="0" w:space="0" w:color="auto"/>
      </w:divBdr>
    </w:div>
    <w:div w:id="1675448376">
      <w:bodyDiv w:val="1"/>
      <w:marLeft w:val="0"/>
      <w:marRight w:val="0"/>
      <w:marTop w:val="0"/>
      <w:marBottom w:val="0"/>
      <w:divBdr>
        <w:top w:val="none" w:sz="0" w:space="0" w:color="auto"/>
        <w:left w:val="none" w:sz="0" w:space="0" w:color="auto"/>
        <w:bottom w:val="none" w:sz="0" w:space="0" w:color="auto"/>
        <w:right w:val="none" w:sz="0" w:space="0" w:color="auto"/>
      </w:divBdr>
    </w:div>
    <w:div w:id="1689989724">
      <w:bodyDiv w:val="1"/>
      <w:marLeft w:val="0"/>
      <w:marRight w:val="0"/>
      <w:marTop w:val="0"/>
      <w:marBottom w:val="0"/>
      <w:divBdr>
        <w:top w:val="none" w:sz="0" w:space="0" w:color="auto"/>
        <w:left w:val="none" w:sz="0" w:space="0" w:color="auto"/>
        <w:bottom w:val="none" w:sz="0" w:space="0" w:color="auto"/>
        <w:right w:val="none" w:sz="0" w:space="0" w:color="auto"/>
      </w:divBdr>
    </w:div>
    <w:div w:id="1713843474">
      <w:bodyDiv w:val="1"/>
      <w:marLeft w:val="0"/>
      <w:marRight w:val="0"/>
      <w:marTop w:val="0"/>
      <w:marBottom w:val="0"/>
      <w:divBdr>
        <w:top w:val="none" w:sz="0" w:space="0" w:color="auto"/>
        <w:left w:val="none" w:sz="0" w:space="0" w:color="auto"/>
        <w:bottom w:val="none" w:sz="0" w:space="0" w:color="auto"/>
        <w:right w:val="none" w:sz="0" w:space="0" w:color="auto"/>
      </w:divBdr>
    </w:div>
    <w:div w:id="1736590128">
      <w:bodyDiv w:val="1"/>
      <w:marLeft w:val="0"/>
      <w:marRight w:val="0"/>
      <w:marTop w:val="0"/>
      <w:marBottom w:val="0"/>
      <w:divBdr>
        <w:top w:val="none" w:sz="0" w:space="0" w:color="auto"/>
        <w:left w:val="none" w:sz="0" w:space="0" w:color="auto"/>
        <w:bottom w:val="none" w:sz="0" w:space="0" w:color="auto"/>
        <w:right w:val="none" w:sz="0" w:space="0" w:color="auto"/>
      </w:divBdr>
    </w:div>
    <w:div w:id="1751659505">
      <w:bodyDiv w:val="1"/>
      <w:marLeft w:val="0"/>
      <w:marRight w:val="0"/>
      <w:marTop w:val="0"/>
      <w:marBottom w:val="0"/>
      <w:divBdr>
        <w:top w:val="none" w:sz="0" w:space="0" w:color="auto"/>
        <w:left w:val="none" w:sz="0" w:space="0" w:color="auto"/>
        <w:bottom w:val="none" w:sz="0" w:space="0" w:color="auto"/>
        <w:right w:val="none" w:sz="0" w:space="0" w:color="auto"/>
      </w:divBdr>
    </w:div>
    <w:div w:id="1779982148">
      <w:bodyDiv w:val="1"/>
      <w:marLeft w:val="0"/>
      <w:marRight w:val="0"/>
      <w:marTop w:val="0"/>
      <w:marBottom w:val="0"/>
      <w:divBdr>
        <w:top w:val="none" w:sz="0" w:space="0" w:color="auto"/>
        <w:left w:val="none" w:sz="0" w:space="0" w:color="auto"/>
        <w:bottom w:val="none" w:sz="0" w:space="0" w:color="auto"/>
        <w:right w:val="none" w:sz="0" w:space="0" w:color="auto"/>
      </w:divBdr>
    </w:div>
    <w:div w:id="1837652317">
      <w:bodyDiv w:val="1"/>
      <w:marLeft w:val="0"/>
      <w:marRight w:val="0"/>
      <w:marTop w:val="0"/>
      <w:marBottom w:val="0"/>
      <w:divBdr>
        <w:top w:val="none" w:sz="0" w:space="0" w:color="auto"/>
        <w:left w:val="none" w:sz="0" w:space="0" w:color="auto"/>
        <w:bottom w:val="none" w:sz="0" w:space="0" w:color="auto"/>
        <w:right w:val="none" w:sz="0" w:space="0" w:color="auto"/>
      </w:divBdr>
    </w:div>
    <w:div w:id="1843818219">
      <w:bodyDiv w:val="1"/>
      <w:marLeft w:val="0"/>
      <w:marRight w:val="0"/>
      <w:marTop w:val="0"/>
      <w:marBottom w:val="0"/>
      <w:divBdr>
        <w:top w:val="none" w:sz="0" w:space="0" w:color="auto"/>
        <w:left w:val="none" w:sz="0" w:space="0" w:color="auto"/>
        <w:bottom w:val="none" w:sz="0" w:space="0" w:color="auto"/>
        <w:right w:val="none" w:sz="0" w:space="0" w:color="auto"/>
      </w:divBdr>
    </w:div>
    <w:div w:id="1884443270">
      <w:bodyDiv w:val="1"/>
      <w:marLeft w:val="0"/>
      <w:marRight w:val="0"/>
      <w:marTop w:val="0"/>
      <w:marBottom w:val="0"/>
      <w:divBdr>
        <w:top w:val="none" w:sz="0" w:space="0" w:color="auto"/>
        <w:left w:val="none" w:sz="0" w:space="0" w:color="auto"/>
        <w:bottom w:val="none" w:sz="0" w:space="0" w:color="auto"/>
        <w:right w:val="none" w:sz="0" w:space="0" w:color="auto"/>
      </w:divBdr>
    </w:div>
    <w:div w:id="2012097992">
      <w:bodyDiv w:val="1"/>
      <w:marLeft w:val="0"/>
      <w:marRight w:val="0"/>
      <w:marTop w:val="0"/>
      <w:marBottom w:val="0"/>
      <w:divBdr>
        <w:top w:val="none" w:sz="0" w:space="0" w:color="auto"/>
        <w:left w:val="none" w:sz="0" w:space="0" w:color="auto"/>
        <w:bottom w:val="none" w:sz="0" w:space="0" w:color="auto"/>
        <w:right w:val="none" w:sz="0" w:space="0" w:color="auto"/>
      </w:divBdr>
    </w:div>
    <w:div w:id="2017002120">
      <w:bodyDiv w:val="1"/>
      <w:marLeft w:val="0"/>
      <w:marRight w:val="0"/>
      <w:marTop w:val="0"/>
      <w:marBottom w:val="0"/>
      <w:divBdr>
        <w:top w:val="none" w:sz="0" w:space="0" w:color="auto"/>
        <w:left w:val="none" w:sz="0" w:space="0" w:color="auto"/>
        <w:bottom w:val="none" w:sz="0" w:space="0" w:color="auto"/>
        <w:right w:val="none" w:sz="0" w:space="0" w:color="auto"/>
      </w:divBdr>
    </w:div>
    <w:div w:id="2063167815">
      <w:bodyDiv w:val="1"/>
      <w:marLeft w:val="0"/>
      <w:marRight w:val="0"/>
      <w:marTop w:val="0"/>
      <w:marBottom w:val="0"/>
      <w:divBdr>
        <w:top w:val="none" w:sz="0" w:space="0" w:color="auto"/>
        <w:left w:val="none" w:sz="0" w:space="0" w:color="auto"/>
        <w:bottom w:val="none" w:sz="0" w:space="0" w:color="auto"/>
        <w:right w:val="none" w:sz="0" w:space="0" w:color="auto"/>
      </w:divBdr>
    </w:div>
    <w:div w:id="2092264745">
      <w:bodyDiv w:val="1"/>
      <w:marLeft w:val="0"/>
      <w:marRight w:val="0"/>
      <w:marTop w:val="0"/>
      <w:marBottom w:val="0"/>
      <w:divBdr>
        <w:top w:val="none" w:sz="0" w:space="0" w:color="auto"/>
        <w:left w:val="none" w:sz="0" w:space="0" w:color="auto"/>
        <w:bottom w:val="none" w:sz="0" w:space="0" w:color="auto"/>
        <w:right w:val="none" w:sz="0" w:space="0" w:color="auto"/>
      </w:divBdr>
    </w:div>
    <w:div w:id="211212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fortuna@fce.unrc.edu.a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clerici@fce.unrc.edu.ar" TargetMode="External"/><Relationship Id="rId12" Type="http://schemas.openxmlformats.org/officeDocument/2006/relationships/hyperlink" Target="10.1007/s11573-020-01025-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bernardi@fce.unrc.edu.ar" TargetMode="External"/><Relationship Id="rId11" Type="http://schemas.openxmlformats.org/officeDocument/2006/relationships/hyperlink" Target="https://cdn.ifrs.org/-/media/feature/about-us/legal-and-governance/constitution-docs/ifrs-foundation-constitution-2018.pdf?la=en" TargetMode="External"/><Relationship Id="rId5" Type="http://schemas.openxmlformats.org/officeDocument/2006/relationships/hyperlink" Target="mailto:cmiazzo@fce.unrc.edu.ar" TargetMode="External"/><Relationship Id="rId10" Type="http://schemas.openxmlformats.org/officeDocument/2006/relationships/hyperlink" Target="https://doi.org/10.1111/jbfa.12284" TargetMode="External"/><Relationship Id="rId4" Type="http://schemas.openxmlformats.org/officeDocument/2006/relationships/webSettings" Target="webSettings.xml"/><Relationship Id="rId9" Type="http://schemas.openxmlformats.org/officeDocument/2006/relationships/hyperlink" Target="10.1016/j.jcae.2011.03.001"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7thEd.XSL" StyleName="APA 7th Edition (Beta)" Version="1">
  <b:Source>
    <b:Tag>Gra18</b:Tag>
    <b:SourceType>JournalArticle</b:SourceType>
    <b:Guid>{C94388E1-B672-4F08-90F7-FF04A1A4788E}</b:Guid>
    <b:Author>
      <b:Author>
        <b:NameList>
          <b:Person>
            <b:Last>Graham</b:Last>
            <b:First>Roger</b:First>
            <b:Middle>C.</b:Middle>
          </b:Person>
          <b:Person>
            <b:Last>Lin</b:Last>
            <b:First>KC</b:First>
          </b:Person>
        </b:NameList>
      </b:Author>
    </b:Author>
    <b:Title>The influence of other comprehensive income on discretionary expenditures</b:Title>
    <b:JournalName>Journal of Business Finance &amp; Accounting</b:JournalName>
    <b:Year>2018</b:Year>
    <b:Pages>72-91</b:Pages>
    <b:Volume>45</b:Volume>
    <b:Issue>1-2</b:Issue>
    <b:DOI>https://doi.org/10.1111/jbfa.12284</b:DOI>
    <b:RefOrder>6</b:RefOrder>
  </b:Source>
  <b:Source>
    <b:Tag>Bar00</b:Tag>
    <b:SourceType>JournalArticle</b:SourceType>
    <b:Guid>{689DD46B-3F59-4952-BA62-8BCB9D9EF2DE}</b:Guid>
    <b:Title>Valuation‐based accounting research: Implications for financial reporting and opportunities for future research</b:Title>
    <b:Year>2000</b:Year>
    <b:JournalName>Accounting &amp; Finance</b:JournalName>
    <b:Pages>7-32</b:Pages>
    <b:Volume>40</b:Volume>
    <b:Issue>1</b:Issue>
    <b:Author>
      <b:Author>
        <b:NameList>
          <b:Person>
            <b:Last>Barth</b:Last>
            <b:First>Mary</b:First>
          </b:Person>
        </b:NameList>
      </b:Author>
    </b:Author>
    <b:RefOrder>10</b:RefOrder>
  </b:Source>
  <b:Source>
    <b:Tag>Ohl951</b:Tag>
    <b:SourceType>JournalArticle</b:SourceType>
    <b:Guid>{54C9CE9C-27EE-4DDB-B045-9B275E3F50FD}</b:Guid>
    <b:Title>Earnings, Book Values, and Dividends in Equity Valuation</b:Title>
    <b:JournalName>Contemporany Accounting Research</b:JournalName>
    <b:Year>1995</b:Year>
    <b:Month>spring</b:Month>
    <b:Pages>661-687</b:Pages>
    <b:Volume>11</b:Volume>
    <b:Issue>2</b:Issue>
    <b:Author>
      <b:Author>
        <b:NameList>
          <b:Person>
            <b:Last>Ohlson</b:Last>
            <b:Middle>A.</b:Middle>
            <b:First>James</b:First>
          </b:Person>
        </b:NameList>
      </b:Author>
    </b:Author>
    <b:RefOrder>11</b:RefOrder>
  </b:Source>
  <b:Source>
    <b:Tag>Fra041</b:Tag>
    <b:SourceType>JournalArticle</b:SourceType>
    <b:Guid>{BE4F17E5-6303-4AF5-B7CE-F711F9A5199A}</b:Guid>
    <b:Title>Costs of Equity and Earnings Attributes</b:Title>
    <b:JournalName>The Accounting Review</b:JournalName>
    <b:Year>2004</b:Year>
    <b:Pages>967-1010</b:Pages>
    <b:Volume>79</b:Volume>
    <b:Issue>4</b:Issue>
    <b:Author>
      <b:Author>
        <b:NameList>
          <b:Person>
            <b:Last>Francis</b:Last>
            <b:First>Jennifer</b:First>
          </b:Person>
          <b:Person>
            <b:Last>LaFond</b:Last>
            <b:First>Ryan</b:First>
          </b:Person>
          <b:Person>
            <b:Last>Olsson</b:Last>
            <b:Middle>M.</b:Middle>
            <b:First>Per</b:First>
          </b:Person>
          <b:Person>
            <b:Last>Schipper</b:Last>
            <b:First>Katherine</b:First>
          </b:Person>
        </b:NameList>
      </b:Author>
    </b:Author>
    <b:RefOrder>2</b:RefOrder>
  </b:Source>
  <b:Source>
    <b:Tag>The21</b:Tag>
    <b:SourceType>JournalArticle</b:SourceType>
    <b:Guid>{656E2772-F7B4-45C1-BBA7-45F8333031A4}</b:Guid>
    <b:Title> Do fair value measurements affect accounting-based earnings quality? A literature review with a focus on corporate governance as moderator</b:Title>
    <b:JournalName>Journal of Business Economics</b:JournalName>
    <b:Year>2021</b:Year>
    <b:Pages>965-1004</b:Pages>
    <b:Volume>91</b:Volume>
    <b:DOI>10.1007/s11573-020-01025-6</b:DOI>
    <b:Author>
      <b:Author>
        <b:NameList>
          <b:Person>
            <b:Last>Thesing</b:Last>
            <b:First>Johannes</b:First>
          </b:Person>
          <b:Person>
            <b:Last>Velte</b:Last>
            <b:First>Patrick</b:First>
          </b:Person>
        </b:NameList>
      </b:Author>
    </b:Author>
    <b:RefOrder>3</b:RefOrder>
  </b:Source>
  <b:Source>
    <b:Tag>Cla11</b:Tag>
    <b:SourceType>JournalArticle</b:SourceType>
    <b:Guid>{DF02C4C6-2A8A-44AA-8E5F-F24420721B7A}</b:Guid>
    <b:Title>The impact of IFRS adoption on the value relevance of book value and earnings</b:Title>
    <b:Year>2011</b:Year>
    <b:Author>
      <b:Author>
        <b:NameList>
          <b:Person>
            <b:Last>Clarkson</b:Last>
            <b:First>Peter</b:First>
          </b:Person>
          <b:Person>
            <b:Last>Douglas Hanna</b:Last>
            <b:First>J.</b:First>
          </b:Person>
          <b:Person>
            <b:Last>Richardson</b:Last>
            <b:Middle>D.</b:Middle>
            <b:First>Gordon</b:First>
          </b:Person>
          <b:Person>
            <b:Last>Thompson</b:Last>
            <b:First>Rex</b:First>
          </b:Person>
        </b:NameList>
      </b:Author>
    </b:Author>
    <b:JournalName>Journal of Contemporary Accounting &amp; Economics</b:JournalName>
    <b:Month>June</b:Month>
    <b:Pages>1-17</b:Pages>
    <b:Volume>7</b:Volume>
    <b:Issue>1</b:Issue>
    <b:DOI>10.1016/j.jcae.2011.03.001</b:DOI>
    <b:RefOrder>4</b:RefOrder>
  </b:Source>
  <b:Source>
    <b:Tag>Int201</b:Tag>
    <b:SourceType>InternetSite</b:SourceType>
    <b:Guid>{CA8B5C04-8AD2-4975-A18C-BBFB8DE8A8F3}</b:Guid>
    <b:Author>
      <b:Author>
        <b:Corporate>International Financial Reporting Standards Foundation</b:Corporate>
      </b:Author>
    </b:Author>
    <b:Title>ifrs.org</b:Title>
    <b:Year>2020</b:Year>
    <b:Month>08</b:Month>
    <b:Day>20</b:Day>
    <b:URL>https://cdn.ifrs.org/-/media/feature/about-us/legal-and-governance/constitution-docs/ifrs-foundation-constitution-2018.pdf?la=en</b:URL>
    <b:RefOrder>1</b:RefOrder>
  </b:Source>
  <b:Source>
    <b:Tag>Gin991</b:Tag>
    <b:SourceType>JournalArticle</b:SourceType>
    <b:Guid>{67137EA7-42B7-4CF2-95A9-6331CD93F256}</b:Guid>
    <b:Title>The value relevance of earnings disagreggation provided in the Spanish profit and lost account</b:Title>
    <b:Year>1999</b:Year>
    <b:JournalName>European Accounting Review</b:JournalName>
    <b:Month>august</b:Month>
    <b:Pages>609-629</b:Pages>
    <b:Volume>4</b:Volume>
    <b:Author>
      <b:Author>
        <b:NameList>
          <b:Person>
            <b:Last>Giner </b:Last>
            <b:First>Begona</b:First>
          </b:Person>
          <b:Person>
            <b:Last>Reverte</b:Last>
            <b:First>Carmelo</b:First>
          </b:Person>
        </b:NameList>
      </b:Author>
    </b:Author>
    <b:RefOrder>7</b:RefOrder>
  </b:Source>
  <b:Source>
    <b:Tag>Cut16</b:Tag>
    <b:SourceType>JournalArticle</b:SourceType>
    <b:Guid>{6126A785-1A7D-4873-8F9A-915F2DAA2FAA}</b:Guid>
    <b:Title>The effetc of IFRS on net income and earnings components: value relevance, persistence, and predictive value</b:Title>
    <b:JournalName>Spanish Journal of Finance and Accounting </b:JournalName>
    <b:Year>2016</b:Year>
    <b:Pages>365-388</b:Pages>
    <b:Volume>45</b:Volume>
    <b:Issue>3</b:Issue>
    <b:Author>
      <b:Author>
        <b:NameList>
          <b:Person>
            <b:Last>Cutillas-Gomariz</b:Last>
            <b:First>M.Fuensanta</b:First>
          </b:Person>
          <b:Person>
            <b:Last>Sanchez-Ballesta</b:Last>
            <b:Middle>Pedro</b:Middle>
            <b:First>Juan</b:First>
          </b:Person>
          <b:Person>
            <b:Last>Yagüe</b:Last>
            <b:First>José</b:First>
          </b:Person>
        </b:NameList>
      </b:Author>
    </b:Author>
    <b:RefOrder>8</b:RefOrder>
  </b:Source>
  <b:Source>
    <b:Tag>Ser11</b:Tag>
    <b:SourceType>JournalArticle</b:SourceType>
    <b:Guid>{C87D9D36-892C-4362-ABC4-AB5B25B96980}</b:Guid>
    <b:Title>Relevancia valorativa del resultado global y sus componentes frente al resultado neto</b:Title>
    <b:JournalName>Revista de Contabilidad</b:JournalName>
    <b:Year>2011</b:Year>
    <b:Pages>147-175</b:Pages>
    <b:Volume>14</b:Volume>
    <b:Issue>2</b:Issue>
    <b:Author>
      <b:Author>
        <b:NameList>
          <b:Person>
            <b:Last>Serrat</b:Last>
            <b:Middle>Arimany</b:Middle>
            <b:First>Nuria</b:First>
          </b:Person>
          <b:Person>
            <b:Last>Gutierrez</b:Last>
            <b:Middle>Moya</b:Middle>
            <b:First>Soledad</b:First>
          </b:Person>
          <b:Person>
            <b:Last>Perez</b:Last>
            <b:Middle>Rodriguez</b:Middle>
            <b:First>Gonzalo</b:First>
          </b:Person>
        </b:NameList>
      </b:Author>
    </b:Author>
    <b:RefOrder>9</b:RefOrder>
  </b:Source>
  <b:Source>
    <b:Tag>Eat13</b:Tag>
    <b:SourceType>JournalArticle</b:SourceType>
    <b:Guid>{63486B18-9767-4B5D-8C95-6F0F3558D771}</b:Guid>
    <b:Title>The presentation of odher comprehensive income</b:Title>
    <b:JournalName>The CPA Journal</b:JournalName>
    <b:Year>2013</b:Year>
    <b:Pages>23-35</b:Pages>
    <b:Author>
      <b:Author>
        <b:NameList>
          <b:Person>
            <b:Last>Eaton</b:Last>
            <b:First>Tim</b:First>
          </b:Person>
          <b:Person>
            <b:Last>Easterday</b:Last>
            <b:First>Kathryn</b:First>
          </b:Person>
          <b:Person>
            <b:Last>Rhodes</b:Last>
            <b:First>Michael</b:First>
          </b:Person>
        </b:NameList>
      </b:Author>
    </b:Author>
    <b:Volume>3</b:Volume>
    <b:Issue>83</b:Issue>
    <b:RefOrder>5</b:RefOrder>
  </b:Source>
</b:Sources>
</file>

<file path=customXml/itemProps1.xml><?xml version="1.0" encoding="utf-8"?>
<ds:datastoreItem xmlns:ds="http://schemas.openxmlformats.org/officeDocument/2006/customXml" ds:itemID="{93A72175-4C0E-42E9-90B5-F390B46EF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1936</Words>
  <Characters>10648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Cristian Miazzo</cp:lastModifiedBy>
  <cp:revision>4</cp:revision>
  <dcterms:created xsi:type="dcterms:W3CDTF">2024-09-23T17:39:00Z</dcterms:created>
  <dcterms:modified xsi:type="dcterms:W3CDTF">2024-09-23T17:43:00Z</dcterms:modified>
</cp:coreProperties>
</file>