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E1A" w:rsidRDefault="00B1163D">
      <w:pPr>
        <w:rPr>
          <w:rFonts w:ascii="Times New Roman" w:hAnsi="Times New Roman" w:cs="Times New Roman"/>
        </w:rPr>
      </w:pPr>
      <w:r>
        <w:rPr>
          <w:rFonts w:ascii="Times New Roman" w:eastAsia="Times New Roman" w:hAnsi="Times New Roman" w:cs="Times New Roman"/>
          <w:noProof/>
          <w:lang w:val="es-ES" w:eastAsia="es-ES"/>
        </w:rPr>
        <w:drawing>
          <wp:inline distT="114300" distB="114300" distL="114300" distR="114300">
            <wp:extent cx="4861560" cy="2423160"/>
            <wp:effectExtent l="0" t="0" r="0" b="0"/>
            <wp:docPr id="1051700174" name="image1.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1051700174" name="image1.png" descr="Diagrama&#10;&#10;Descripción generada automáticamente"/>
                    <pic:cNvPicPr preferRelativeResize="0"/>
                  </pic:nvPicPr>
                  <pic:blipFill>
                    <a:blip r:embed="rId4"/>
                    <a:srcRect/>
                    <a:stretch>
                      <a:fillRect/>
                    </a:stretch>
                  </pic:blipFill>
                  <pic:spPr>
                    <a:xfrm>
                      <a:off x="0" y="0"/>
                      <a:ext cx="4868179" cy="2426459"/>
                    </a:xfrm>
                    <a:prstGeom prst="rect">
                      <a:avLst/>
                    </a:prstGeom>
                    <a:ln/>
                  </pic:spPr>
                </pic:pic>
              </a:graphicData>
            </a:graphic>
          </wp:inline>
        </w:drawing>
      </w:r>
    </w:p>
    <w:p w:rsidR="000107D1" w:rsidRDefault="000107D1" w:rsidP="000107D1">
      <w:pPr>
        <w:jc w:val="center"/>
        <w:rPr>
          <w:rFonts w:ascii="Times New Roman" w:eastAsia="Times New Roman" w:hAnsi="Times New Roman" w:cs="Times New Roman"/>
        </w:rPr>
      </w:pPr>
      <w:r>
        <w:rPr>
          <w:rFonts w:ascii="Times New Roman" w:eastAsia="Times New Roman" w:hAnsi="Times New Roman" w:cs="Times New Roman"/>
        </w:rPr>
        <w:t>“Perspectivas, realidades y prospectivas académico-profesionales”</w:t>
      </w:r>
    </w:p>
    <w:p w:rsidR="000107D1" w:rsidRDefault="000107D1" w:rsidP="000107D1">
      <w:pPr>
        <w:jc w:val="center"/>
        <w:rPr>
          <w:rFonts w:ascii="Times New Roman" w:eastAsia="Times New Roman" w:hAnsi="Times New Roman" w:cs="Times New Roman"/>
        </w:rPr>
      </w:pPr>
      <w:r>
        <w:rPr>
          <w:rFonts w:ascii="Times New Roman" w:eastAsia="Times New Roman" w:hAnsi="Times New Roman" w:cs="Times New Roman"/>
        </w:rPr>
        <w:t>8 de octubre 2024, Villa María</w:t>
      </w:r>
    </w:p>
    <w:p w:rsidR="000107D1" w:rsidRDefault="000107D1" w:rsidP="000107D1">
      <w:pPr>
        <w:jc w:val="center"/>
        <w:rPr>
          <w:rFonts w:ascii="Times New Roman" w:eastAsia="Times New Roman" w:hAnsi="Times New Roman" w:cs="Times New Roman"/>
        </w:rPr>
      </w:pPr>
      <w:r>
        <w:rPr>
          <w:rFonts w:ascii="Times New Roman" w:eastAsia="Times New Roman" w:hAnsi="Times New Roman" w:cs="Times New Roman"/>
        </w:rPr>
        <w:t>9 de octubre de 2024, San Francisco</w:t>
      </w:r>
    </w:p>
    <w:p w:rsidR="000107D1" w:rsidRDefault="000107D1" w:rsidP="000107D1">
      <w:pPr>
        <w:jc w:val="center"/>
        <w:rPr>
          <w:rFonts w:ascii="Times New Roman" w:eastAsia="Times New Roman" w:hAnsi="Times New Roman" w:cs="Times New Roman"/>
        </w:rPr>
      </w:pPr>
      <w:r>
        <w:rPr>
          <w:rFonts w:ascii="Times New Roman" w:eastAsia="Times New Roman" w:hAnsi="Times New Roman" w:cs="Times New Roman"/>
        </w:rPr>
        <w:t>Provincia de Córdoba, Argentina</w:t>
      </w:r>
    </w:p>
    <w:p w:rsidR="000107D1" w:rsidRDefault="000107D1" w:rsidP="000107D1">
      <w:pPr>
        <w:jc w:val="center"/>
        <w:rPr>
          <w:rFonts w:ascii="Times New Roman" w:eastAsia="Times New Roman" w:hAnsi="Times New Roman" w:cs="Times New Roman"/>
          <w:color w:val="000000"/>
        </w:rPr>
      </w:pPr>
    </w:p>
    <w:p w:rsidR="000107D1" w:rsidRPr="00266487" w:rsidRDefault="000107D1" w:rsidP="000107D1">
      <w:pPr>
        <w:spacing w:line="360" w:lineRule="auto"/>
        <w:jc w:val="center"/>
        <w:rPr>
          <w:rFonts w:ascii="Times New Roman" w:eastAsia="Trebuchet MS" w:hAnsi="Times New Roman" w:cs="Times New Roman"/>
          <w:sz w:val="20"/>
          <w:szCs w:val="20"/>
        </w:rPr>
      </w:pPr>
      <w:r w:rsidRPr="000107D1">
        <w:rPr>
          <w:rFonts w:ascii="Times New Roman" w:eastAsia="Times New Roman" w:hAnsi="Times New Roman" w:cs="Times New Roman"/>
          <w:color w:val="000000"/>
          <w:u w:val="single"/>
        </w:rPr>
        <w:t>Título:</w:t>
      </w:r>
      <w:r w:rsidR="00D71F5C">
        <w:rPr>
          <w:rFonts w:ascii="Times New Roman" w:eastAsia="Times New Roman" w:hAnsi="Times New Roman" w:cs="Times New Roman"/>
          <w:color w:val="000000"/>
          <w:u w:val="single"/>
        </w:rPr>
        <w:t xml:space="preserve"> </w:t>
      </w:r>
      <w:r w:rsidR="00266487" w:rsidRPr="00266487">
        <w:rPr>
          <w:rFonts w:ascii="Times New Roman" w:eastAsia="Trebuchet MS" w:hAnsi="Times New Roman" w:cs="Times New Roman"/>
          <w:sz w:val="20"/>
          <w:szCs w:val="20"/>
        </w:rPr>
        <w:t>Procedimientos de auditoría en empresas siderúrgicas. Avances en prevención de riesgos</w:t>
      </w:r>
    </w:p>
    <w:p w:rsidR="000107D1" w:rsidRPr="000107D1" w:rsidRDefault="000107D1" w:rsidP="000107D1">
      <w:pPr>
        <w:spacing w:line="360" w:lineRule="auto"/>
        <w:jc w:val="center"/>
        <w:rPr>
          <w:rFonts w:ascii="Times New Roman" w:eastAsia="Times New Roman" w:hAnsi="Times New Roman" w:cs="Times New Roman"/>
          <w:i/>
          <w:u w:val="single"/>
        </w:rPr>
      </w:pPr>
      <w:r w:rsidRPr="000107D1">
        <w:rPr>
          <w:rFonts w:ascii="Times New Roman" w:eastAsia="Times New Roman" w:hAnsi="Times New Roman" w:cs="Times New Roman"/>
          <w:i/>
          <w:u w:val="single"/>
        </w:rPr>
        <w:t>Autores</w:t>
      </w:r>
    </w:p>
    <w:p w:rsidR="009E2F69" w:rsidRDefault="009E2F69" w:rsidP="009E2F69">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Apellido/s y Nombre/s: </w:t>
      </w:r>
      <w:proofErr w:type="spellStart"/>
      <w:r>
        <w:rPr>
          <w:rFonts w:ascii="Times New Roman" w:eastAsia="Times New Roman" w:hAnsi="Times New Roman" w:cs="Times New Roman"/>
        </w:rPr>
        <w:t>Ferreyra</w:t>
      </w:r>
      <w:proofErr w:type="spellEnd"/>
      <w:r>
        <w:rPr>
          <w:rFonts w:ascii="Times New Roman" w:eastAsia="Times New Roman" w:hAnsi="Times New Roman" w:cs="Times New Roman"/>
        </w:rPr>
        <w:t>, Daniel</w:t>
      </w:r>
      <w:r w:rsidR="0023730E">
        <w:rPr>
          <w:rFonts w:ascii="Times New Roman" w:eastAsia="Times New Roman" w:hAnsi="Times New Roman" w:cs="Times New Roman"/>
        </w:rPr>
        <w:t xml:space="preserve"> S</w:t>
      </w:r>
      <w:r w:rsidR="00D71F5C">
        <w:rPr>
          <w:rFonts w:ascii="Times New Roman" w:eastAsia="Times New Roman" w:hAnsi="Times New Roman" w:cs="Times New Roman"/>
        </w:rPr>
        <w:t>a</w:t>
      </w:r>
      <w:r w:rsidR="0023730E">
        <w:rPr>
          <w:rFonts w:ascii="Times New Roman" w:eastAsia="Times New Roman" w:hAnsi="Times New Roman" w:cs="Times New Roman"/>
        </w:rPr>
        <w:t>ntiago</w:t>
      </w:r>
    </w:p>
    <w:p w:rsidR="009E2F69" w:rsidRDefault="009E2F69" w:rsidP="009E2F69">
      <w:pPr>
        <w:spacing w:after="0" w:line="360" w:lineRule="auto"/>
        <w:rPr>
          <w:rFonts w:ascii="Times New Roman" w:eastAsia="Times New Roman" w:hAnsi="Times New Roman" w:cs="Times New Roman"/>
        </w:rPr>
      </w:pPr>
      <w:r>
        <w:rPr>
          <w:rFonts w:ascii="Times New Roman" w:eastAsia="Times New Roman" w:hAnsi="Times New Roman" w:cs="Times New Roman"/>
        </w:rPr>
        <w:t>Universidad: Universidad de Buenos Aires</w:t>
      </w:r>
      <w:r w:rsidR="0023730E">
        <w:rPr>
          <w:rFonts w:ascii="Times New Roman" w:eastAsia="Times New Roman" w:hAnsi="Times New Roman" w:cs="Times New Roman"/>
        </w:rPr>
        <w:t>, FCE</w:t>
      </w:r>
      <w:r>
        <w:rPr>
          <w:rFonts w:ascii="Times New Roman" w:eastAsia="Times New Roman" w:hAnsi="Times New Roman" w:cs="Times New Roman"/>
        </w:rPr>
        <w:t xml:space="preserve"> - Universidad del Salvador</w:t>
      </w:r>
      <w:r w:rsidR="0023730E">
        <w:rPr>
          <w:rFonts w:ascii="Times New Roman" w:eastAsia="Times New Roman" w:hAnsi="Times New Roman" w:cs="Times New Roman"/>
        </w:rPr>
        <w:t>, FCE y Empresariales.</w:t>
      </w:r>
    </w:p>
    <w:p w:rsidR="009E2F69" w:rsidRDefault="009E2F69" w:rsidP="009E2F69">
      <w:pPr>
        <w:spacing w:after="0" w:line="360" w:lineRule="auto"/>
        <w:rPr>
          <w:rFonts w:ascii="Times New Roman" w:eastAsia="Times New Roman" w:hAnsi="Times New Roman" w:cs="Times New Roman"/>
        </w:rPr>
      </w:pPr>
      <w:r>
        <w:rPr>
          <w:rFonts w:ascii="Times New Roman" w:eastAsia="Times New Roman" w:hAnsi="Times New Roman" w:cs="Times New Roman"/>
        </w:rPr>
        <w:t>Dirección Postal: Provincia de Buenos Aires</w:t>
      </w:r>
    </w:p>
    <w:p w:rsidR="009E2F69" w:rsidRDefault="009E2F69" w:rsidP="009E2F69">
      <w:pPr>
        <w:spacing w:after="0" w:line="360" w:lineRule="auto"/>
        <w:rPr>
          <w:rFonts w:ascii="Times New Roman" w:eastAsia="Times New Roman" w:hAnsi="Times New Roman" w:cs="Times New Roman"/>
        </w:rPr>
      </w:pPr>
      <w:r>
        <w:rPr>
          <w:rFonts w:ascii="Times New Roman" w:eastAsia="Times New Roman" w:hAnsi="Times New Roman" w:cs="Times New Roman"/>
        </w:rPr>
        <w:t>Dirección de correo electrónico</w:t>
      </w:r>
      <w:proofErr w:type="gramStart"/>
      <w:r>
        <w:rPr>
          <w:rFonts w:ascii="Times New Roman" w:eastAsia="Times New Roman" w:hAnsi="Times New Roman" w:cs="Times New Roman"/>
        </w:rPr>
        <w:t xml:space="preserve">:  </w:t>
      </w:r>
      <w:r w:rsidR="0023730E" w:rsidRPr="0023730E">
        <w:rPr>
          <w:rFonts w:ascii="Times New Roman" w:eastAsia="Times New Roman" w:hAnsi="Times New Roman" w:cs="Times New Roman"/>
        </w:rPr>
        <w:t>ferreyradaniel@hotmail.com</w:t>
      </w:r>
      <w:proofErr w:type="gramEnd"/>
    </w:p>
    <w:p w:rsidR="000107D1" w:rsidRDefault="000107D1" w:rsidP="000107D1">
      <w:pPr>
        <w:spacing w:after="0" w:line="360" w:lineRule="auto"/>
        <w:rPr>
          <w:rFonts w:ascii="Times New Roman" w:eastAsia="Times New Roman" w:hAnsi="Times New Roman" w:cs="Times New Roman"/>
        </w:rPr>
      </w:pPr>
    </w:p>
    <w:p w:rsidR="009E2F69" w:rsidRDefault="009E2F69" w:rsidP="000107D1">
      <w:pPr>
        <w:spacing w:after="0" w:line="360" w:lineRule="auto"/>
        <w:rPr>
          <w:rFonts w:ascii="Times New Roman" w:eastAsia="Times New Roman" w:hAnsi="Times New Roman" w:cs="Times New Roman"/>
        </w:rPr>
      </w:pPr>
    </w:p>
    <w:p w:rsidR="000107D1" w:rsidRDefault="000107D1" w:rsidP="000107D1">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Apellido/s y Nombre/s: </w:t>
      </w:r>
      <w:proofErr w:type="spellStart"/>
      <w:r>
        <w:rPr>
          <w:rFonts w:ascii="Times New Roman" w:eastAsia="Times New Roman" w:hAnsi="Times New Roman" w:cs="Times New Roman"/>
        </w:rPr>
        <w:t>Nadales</w:t>
      </w:r>
      <w:proofErr w:type="spellEnd"/>
      <w:r>
        <w:rPr>
          <w:rFonts w:ascii="Times New Roman" w:eastAsia="Times New Roman" w:hAnsi="Times New Roman" w:cs="Times New Roman"/>
        </w:rPr>
        <w:t>, Mariana Alicia</w:t>
      </w:r>
    </w:p>
    <w:p w:rsidR="000107D1" w:rsidRDefault="000107D1" w:rsidP="000107D1">
      <w:pPr>
        <w:spacing w:after="0" w:line="360" w:lineRule="auto"/>
        <w:rPr>
          <w:rFonts w:ascii="Times New Roman" w:eastAsia="Times New Roman" w:hAnsi="Times New Roman" w:cs="Times New Roman"/>
        </w:rPr>
      </w:pPr>
      <w:r>
        <w:rPr>
          <w:rFonts w:ascii="Times New Roman" w:eastAsia="Times New Roman" w:hAnsi="Times New Roman" w:cs="Times New Roman"/>
        </w:rPr>
        <w:t>Universidad: Universidad de Buenos Aires</w:t>
      </w:r>
      <w:r w:rsidR="0023730E">
        <w:rPr>
          <w:rFonts w:ascii="Times New Roman" w:eastAsia="Times New Roman" w:hAnsi="Times New Roman" w:cs="Times New Roman"/>
        </w:rPr>
        <w:t>, FCE</w:t>
      </w:r>
      <w:r>
        <w:rPr>
          <w:rFonts w:ascii="Times New Roman" w:eastAsia="Times New Roman" w:hAnsi="Times New Roman" w:cs="Times New Roman"/>
        </w:rPr>
        <w:t xml:space="preserve"> - Universidad del Salvador</w:t>
      </w:r>
      <w:r w:rsidR="0023730E">
        <w:rPr>
          <w:rFonts w:ascii="Times New Roman" w:eastAsia="Times New Roman" w:hAnsi="Times New Roman" w:cs="Times New Roman"/>
        </w:rPr>
        <w:t>, FCE y empresariales</w:t>
      </w:r>
    </w:p>
    <w:p w:rsidR="000107D1" w:rsidRDefault="000107D1" w:rsidP="000107D1">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Dirección Postal: </w:t>
      </w:r>
      <w:r w:rsidR="0060120E">
        <w:rPr>
          <w:rFonts w:ascii="Times New Roman" w:eastAsia="Times New Roman" w:hAnsi="Times New Roman" w:cs="Times New Roman"/>
        </w:rPr>
        <w:t xml:space="preserve">La Pampa 1231 </w:t>
      </w:r>
      <w:r w:rsidR="00517AE0">
        <w:rPr>
          <w:rFonts w:ascii="Times New Roman" w:eastAsia="Times New Roman" w:hAnsi="Times New Roman" w:cs="Times New Roman"/>
        </w:rPr>
        <w:t>–2do E -</w:t>
      </w:r>
      <w:r>
        <w:rPr>
          <w:rFonts w:ascii="Times New Roman" w:eastAsia="Times New Roman" w:hAnsi="Times New Roman" w:cs="Times New Roman"/>
        </w:rPr>
        <w:t>Ciudad de Buenos Aires</w:t>
      </w:r>
    </w:p>
    <w:p w:rsidR="000107D1" w:rsidRDefault="000107D1" w:rsidP="000107D1">
      <w:pPr>
        <w:spacing w:after="0" w:line="360" w:lineRule="auto"/>
        <w:rPr>
          <w:rFonts w:ascii="Times New Roman" w:eastAsia="Times New Roman" w:hAnsi="Times New Roman" w:cs="Times New Roman"/>
        </w:rPr>
      </w:pPr>
      <w:r>
        <w:rPr>
          <w:rFonts w:ascii="Times New Roman" w:eastAsia="Times New Roman" w:hAnsi="Times New Roman" w:cs="Times New Roman"/>
        </w:rPr>
        <w:t>Dirección de correo electrónico: manadales@gmail.com</w:t>
      </w:r>
    </w:p>
    <w:p w:rsidR="000107D1" w:rsidRDefault="000107D1" w:rsidP="000107D1">
      <w:pPr>
        <w:spacing w:after="0" w:line="360" w:lineRule="auto"/>
        <w:rPr>
          <w:rFonts w:ascii="Times New Roman" w:eastAsia="Times New Roman" w:hAnsi="Times New Roman" w:cs="Times New Roman"/>
        </w:rPr>
      </w:pPr>
    </w:p>
    <w:p w:rsidR="000107D1" w:rsidRDefault="000107D1" w:rsidP="000107D1">
      <w:pPr>
        <w:spacing w:line="360" w:lineRule="auto"/>
        <w:rPr>
          <w:rFonts w:ascii="Times New Roman" w:hAnsi="Times New Roman" w:cs="Times New Roman"/>
        </w:rPr>
      </w:pPr>
    </w:p>
    <w:p w:rsidR="009E2F69" w:rsidRDefault="009E2F69" w:rsidP="000107D1">
      <w:pPr>
        <w:spacing w:line="360" w:lineRule="auto"/>
        <w:rPr>
          <w:rFonts w:ascii="Times New Roman" w:hAnsi="Times New Roman" w:cs="Times New Roman"/>
        </w:rPr>
      </w:pPr>
    </w:p>
    <w:p w:rsidR="009E2F69" w:rsidRDefault="009E2F69" w:rsidP="000107D1">
      <w:pPr>
        <w:spacing w:line="360" w:lineRule="auto"/>
        <w:rPr>
          <w:rFonts w:ascii="Times New Roman" w:hAnsi="Times New Roman" w:cs="Times New Roman"/>
        </w:rPr>
      </w:pPr>
    </w:p>
    <w:p w:rsidR="008556AC" w:rsidRDefault="008556AC" w:rsidP="008556AC">
      <w:pPr>
        <w:spacing w:line="360" w:lineRule="auto"/>
        <w:jc w:val="center"/>
        <w:rPr>
          <w:rFonts w:ascii="Times New Roman" w:eastAsia="Trebuchet MS" w:hAnsi="Times New Roman" w:cs="Times New Roman"/>
        </w:rPr>
      </w:pPr>
      <w:r>
        <w:rPr>
          <w:rFonts w:ascii="Times New Roman" w:eastAsia="Trebuchet MS" w:hAnsi="Times New Roman" w:cs="Times New Roman"/>
        </w:rPr>
        <w:lastRenderedPageBreak/>
        <w:t>RESUMEN AMPLIADO</w:t>
      </w:r>
    </w:p>
    <w:p w:rsidR="00BA3AF1" w:rsidRDefault="009E2F69" w:rsidP="00561212">
      <w:pPr>
        <w:spacing w:line="360" w:lineRule="auto"/>
        <w:jc w:val="both"/>
        <w:rPr>
          <w:rFonts w:ascii="Times New Roman" w:eastAsia="Trebuchet MS" w:hAnsi="Times New Roman" w:cs="Times New Roman"/>
        </w:rPr>
      </w:pPr>
      <w:r>
        <w:rPr>
          <w:rFonts w:ascii="Times New Roman" w:eastAsia="Trebuchet MS" w:hAnsi="Times New Roman" w:cs="Times New Roman"/>
        </w:rPr>
        <w:tab/>
      </w:r>
      <w:r w:rsidR="00BA3AF1">
        <w:rPr>
          <w:rFonts w:ascii="Times New Roman" w:eastAsia="Trebuchet MS" w:hAnsi="Times New Roman" w:cs="Times New Roman"/>
        </w:rPr>
        <w:t>Las normas y los procedimientos de auditoría han avanzado en las últimas décadas y las NIA han acompañado a las NIIF, con el objetivo concreto de que normas de jerarquía brinden reglas precisas para  que los Estados Financieros de las entidades que hacen oferta pública presenten la realidad económica de la entidad informante</w:t>
      </w:r>
      <w:r w:rsidR="00B14098">
        <w:rPr>
          <w:rFonts w:ascii="Times New Roman" w:eastAsia="Trebuchet MS" w:hAnsi="Times New Roman" w:cs="Times New Roman"/>
        </w:rPr>
        <w:t xml:space="preserve">, lo que se verá reflejado en los </w:t>
      </w:r>
      <w:r w:rsidR="00BA3AF1">
        <w:rPr>
          <w:rFonts w:ascii="Times New Roman" w:eastAsia="Trebuchet MS" w:hAnsi="Times New Roman" w:cs="Times New Roman"/>
        </w:rPr>
        <w:t>correspondientes Informes de Auditor</w:t>
      </w:r>
      <w:r w:rsidR="00090F5E">
        <w:rPr>
          <w:rFonts w:ascii="Times New Roman" w:eastAsia="Trebuchet MS" w:hAnsi="Times New Roman" w:cs="Times New Roman"/>
        </w:rPr>
        <w:t xml:space="preserve">, </w:t>
      </w:r>
      <w:r w:rsidR="00B14098">
        <w:rPr>
          <w:rFonts w:ascii="Times New Roman" w:eastAsia="Trebuchet MS" w:hAnsi="Times New Roman" w:cs="Times New Roman"/>
        </w:rPr>
        <w:t xml:space="preserve"> preparados con obtención de evidencia suficiente para manifestar que están libres de incorrecciones y desvíos significativos.  Tanto las normas contables como las de auditoría son objeto de revisiones para adecuar su redacción a problemáticas cada vez más complejas</w:t>
      </w:r>
      <w:r w:rsidR="00853744">
        <w:rPr>
          <w:rFonts w:ascii="Times New Roman" w:eastAsia="Trebuchet MS" w:hAnsi="Times New Roman" w:cs="Times New Roman"/>
        </w:rPr>
        <w:t>,</w:t>
      </w:r>
      <w:r w:rsidR="00B14098">
        <w:rPr>
          <w:rFonts w:ascii="Times New Roman" w:eastAsia="Trebuchet MS" w:hAnsi="Times New Roman" w:cs="Times New Roman"/>
        </w:rPr>
        <w:t xml:space="preserve"> que demandan mayor nivel de seguridad frente a riesgos de incorrecciones, temas de corrupción o fraudes.  Se hace necesario evaluar en forma rigurosa el control interno de los entes auditados, emisores de Estados Financiero; esta problemática implica </w:t>
      </w:r>
      <w:r w:rsidR="007E0F36">
        <w:rPr>
          <w:rFonts w:ascii="Times New Roman" w:eastAsia="Trebuchet MS" w:hAnsi="Times New Roman" w:cs="Times New Roman"/>
        </w:rPr>
        <w:t xml:space="preserve">identificar los posibles riesgos en las organizaciones auditadas, </w:t>
      </w:r>
      <w:r w:rsidR="00B14098">
        <w:rPr>
          <w:rFonts w:ascii="Times New Roman" w:eastAsia="Trebuchet MS" w:hAnsi="Times New Roman" w:cs="Times New Roman"/>
        </w:rPr>
        <w:t>evalua</w:t>
      </w:r>
      <w:r w:rsidR="007E0F36">
        <w:rPr>
          <w:rFonts w:ascii="Times New Roman" w:eastAsia="Trebuchet MS" w:hAnsi="Times New Roman" w:cs="Times New Roman"/>
        </w:rPr>
        <w:t xml:space="preserve">ndo la probabilidad de ocurrencia. También deben tenerse en cuenta los riesgos propios de la auditoría contable.  </w:t>
      </w:r>
      <w:r w:rsidR="00A674FF">
        <w:rPr>
          <w:rFonts w:ascii="Times New Roman" w:eastAsia="Trebuchet MS" w:hAnsi="Times New Roman" w:cs="Times New Roman"/>
        </w:rPr>
        <w:t>El propósito de esta reflexión es, a la luz de la NIA 315, describir algunas operatorias de auditoría de inventario practicadas en empresas siderúrgicas por parte de los autores entre fines de los años noventa y hasta diciembre de 2016</w:t>
      </w:r>
      <w:r w:rsidR="00E72D30">
        <w:rPr>
          <w:rFonts w:ascii="Times New Roman" w:eastAsia="Trebuchet MS" w:hAnsi="Times New Roman" w:cs="Times New Roman"/>
        </w:rPr>
        <w:t>; las normas de auditoría aplicables eran antecesoras de la NIA 315, por ejemplo la NIA 200, pero interesa el análisis teniendo como marco teórico l</w:t>
      </w:r>
      <w:r w:rsidR="003A0562">
        <w:rPr>
          <w:rFonts w:ascii="Times New Roman" w:eastAsia="Trebuchet MS" w:hAnsi="Times New Roman" w:cs="Times New Roman"/>
        </w:rPr>
        <w:t>a norma</w:t>
      </w:r>
      <w:r w:rsidR="00E72D30">
        <w:rPr>
          <w:rFonts w:ascii="Times New Roman" w:eastAsia="Trebuchet MS" w:hAnsi="Times New Roman" w:cs="Times New Roman"/>
        </w:rPr>
        <w:t xml:space="preserve"> vigente y aplicable actualmente</w:t>
      </w:r>
      <w:r w:rsidR="00A674FF">
        <w:rPr>
          <w:rFonts w:ascii="Times New Roman" w:eastAsia="Trebuchet MS" w:hAnsi="Times New Roman" w:cs="Times New Roman"/>
        </w:rPr>
        <w:t>.  S</w:t>
      </w:r>
      <w:r w:rsidR="003A0562">
        <w:rPr>
          <w:rFonts w:ascii="Times New Roman" w:eastAsia="Trebuchet MS" w:hAnsi="Times New Roman" w:cs="Times New Roman"/>
        </w:rPr>
        <w:t xml:space="preserve">e trata de </w:t>
      </w:r>
      <w:r w:rsidR="00A674FF">
        <w:rPr>
          <w:rFonts w:ascii="Times New Roman" w:eastAsia="Trebuchet MS" w:hAnsi="Times New Roman" w:cs="Times New Roman"/>
        </w:rPr>
        <w:t>experiencias reales</w:t>
      </w:r>
      <w:r w:rsidR="00E72D30">
        <w:rPr>
          <w:rFonts w:ascii="Times New Roman" w:eastAsia="Trebuchet MS" w:hAnsi="Times New Roman" w:cs="Times New Roman"/>
        </w:rPr>
        <w:t>;</w:t>
      </w:r>
      <w:r w:rsidR="00A674FF">
        <w:rPr>
          <w:rFonts w:ascii="Times New Roman" w:eastAsia="Trebuchet MS" w:hAnsi="Times New Roman" w:cs="Times New Roman"/>
        </w:rPr>
        <w:t xml:space="preserve"> estudiando los procedimientos, </w:t>
      </w:r>
      <w:r w:rsidR="00E72D30">
        <w:rPr>
          <w:rFonts w:ascii="Times New Roman" w:eastAsia="Trebuchet MS" w:hAnsi="Times New Roman" w:cs="Times New Roman"/>
        </w:rPr>
        <w:t xml:space="preserve">se busca </w:t>
      </w:r>
      <w:r w:rsidR="00A674FF">
        <w:rPr>
          <w:rFonts w:ascii="Times New Roman" w:eastAsia="Trebuchet MS" w:hAnsi="Times New Roman" w:cs="Times New Roman"/>
        </w:rPr>
        <w:t>clasificar los riesgos de auditoría para  proponer una evaluación de los mismos</w:t>
      </w:r>
      <w:r w:rsidR="00DC50B3">
        <w:rPr>
          <w:rFonts w:ascii="Times New Roman" w:eastAsia="Trebuchet MS" w:hAnsi="Times New Roman" w:cs="Times New Roman"/>
        </w:rPr>
        <w:t>.</w:t>
      </w:r>
    </w:p>
    <w:p w:rsidR="003A0562" w:rsidRDefault="0004448B" w:rsidP="00561212">
      <w:pPr>
        <w:spacing w:line="360" w:lineRule="auto"/>
        <w:jc w:val="both"/>
        <w:rPr>
          <w:rFonts w:ascii="Times New Roman" w:eastAsia="Trebuchet MS" w:hAnsi="Times New Roman" w:cs="Times New Roman"/>
        </w:rPr>
      </w:pPr>
      <w:r>
        <w:rPr>
          <w:rFonts w:ascii="Times New Roman" w:eastAsia="Trebuchet MS" w:hAnsi="Times New Roman" w:cs="Times New Roman"/>
        </w:rPr>
        <w:tab/>
      </w:r>
      <w:r w:rsidR="00E72D30">
        <w:rPr>
          <w:rFonts w:ascii="Times New Roman" w:eastAsia="Trebuchet MS" w:hAnsi="Times New Roman" w:cs="Times New Roman"/>
        </w:rPr>
        <w:t xml:space="preserve">En la experiencia vivida, podemos identificar </w:t>
      </w:r>
      <w:r w:rsidR="009149FB">
        <w:rPr>
          <w:rFonts w:ascii="Times New Roman" w:eastAsia="Trebuchet MS" w:hAnsi="Times New Roman" w:cs="Times New Roman"/>
        </w:rPr>
        <w:t xml:space="preserve">desde los procedimientos de auditoría, </w:t>
      </w:r>
      <w:r w:rsidR="00E72D30">
        <w:rPr>
          <w:rFonts w:ascii="Times New Roman" w:eastAsia="Trebuchet MS" w:hAnsi="Times New Roman" w:cs="Times New Roman"/>
        </w:rPr>
        <w:t xml:space="preserve">dos distintas etapas que abarcan hasta aproximadamente el año 2006 </w:t>
      </w:r>
      <w:r w:rsidR="009149FB">
        <w:rPr>
          <w:rFonts w:ascii="Times New Roman" w:eastAsia="Trebuchet MS" w:hAnsi="Times New Roman" w:cs="Times New Roman"/>
        </w:rPr>
        <w:t xml:space="preserve">por un lado, </w:t>
      </w:r>
      <w:r w:rsidR="00E72D30">
        <w:rPr>
          <w:rFonts w:ascii="Times New Roman" w:eastAsia="Trebuchet MS" w:hAnsi="Times New Roman" w:cs="Times New Roman"/>
        </w:rPr>
        <w:t xml:space="preserve">y  </w:t>
      </w:r>
      <w:r w:rsidR="00D02063">
        <w:rPr>
          <w:rFonts w:ascii="Times New Roman" w:eastAsia="Trebuchet MS" w:hAnsi="Times New Roman" w:cs="Times New Roman"/>
        </w:rPr>
        <w:t>a partir de ese momento</w:t>
      </w:r>
      <w:r w:rsidR="009149FB">
        <w:rPr>
          <w:rFonts w:ascii="Times New Roman" w:eastAsia="Trebuchet MS" w:hAnsi="Times New Roman" w:cs="Times New Roman"/>
        </w:rPr>
        <w:t xml:space="preserve">; </w:t>
      </w:r>
      <w:r w:rsidR="00D02063">
        <w:rPr>
          <w:rFonts w:ascii="Times New Roman" w:eastAsia="Trebuchet MS" w:hAnsi="Times New Roman" w:cs="Times New Roman"/>
        </w:rPr>
        <w:t xml:space="preserve"> aunque hay variación entre distintas empresas de este grupo en las que se trabajó</w:t>
      </w:r>
      <w:r w:rsidR="009149FB">
        <w:rPr>
          <w:rFonts w:ascii="Times New Roman" w:eastAsia="Trebuchet MS" w:hAnsi="Times New Roman" w:cs="Times New Roman"/>
        </w:rPr>
        <w:t>, hay coincidencias en que  mejoró significativamente la forma de auditar y los resultados obtenidos</w:t>
      </w:r>
      <w:r w:rsidR="00D02063">
        <w:rPr>
          <w:rFonts w:ascii="Times New Roman" w:eastAsia="Trebuchet MS" w:hAnsi="Times New Roman" w:cs="Times New Roman"/>
        </w:rPr>
        <w:t xml:space="preserve">. </w:t>
      </w:r>
      <w:r w:rsidR="003A0562">
        <w:rPr>
          <w:rFonts w:ascii="Times New Roman" w:eastAsia="Trebuchet MS" w:hAnsi="Times New Roman" w:cs="Times New Roman"/>
        </w:rPr>
        <w:t xml:space="preserve">También hay relación con la aplicación de la ley </w:t>
      </w:r>
      <w:proofErr w:type="spellStart"/>
      <w:r w:rsidR="003A0562">
        <w:rPr>
          <w:rFonts w:ascii="Times New Roman" w:eastAsia="Trebuchet MS" w:hAnsi="Times New Roman" w:cs="Times New Roman"/>
        </w:rPr>
        <w:t>Sarbanes</w:t>
      </w:r>
      <w:proofErr w:type="spellEnd"/>
      <w:r w:rsidR="003A0562">
        <w:rPr>
          <w:rFonts w:ascii="Times New Roman" w:eastAsia="Trebuchet MS" w:hAnsi="Times New Roman" w:cs="Times New Roman"/>
        </w:rPr>
        <w:t xml:space="preserve"> – </w:t>
      </w:r>
      <w:proofErr w:type="spellStart"/>
      <w:r w:rsidR="003A0562">
        <w:rPr>
          <w:rFonts w:ascii="Times New Roman" w:eastAsia="Trebuchet MS" w:hAnsi="Times New Roman" w:cs="Times New Roman"/>
        </w:rPr>
        <w:t>Oxley</w:t>
      </w:r>
      <w:proofErr w:type="spellEnd"/>
      <w:r w:rsidR="003A0562">
        <w:rPr>
          <w:rFonts w:ascii="Times New Roman" w:eastAsia="Trebuchet MS" w:hAnsi="Times New Roman" w:cs="Times New Roman"/>
        </w:rPr>
        <w:t xml:space="preserve">, que no solo pone el acento en el control interno, en los diferentes riesgos inherentes, sino que focaliza el problema en el auditor, el riesgo de que su independencia de criterio se vea comprometida tanto para la tarea, como para los informes generados. </w:t>
      </w:r>
    </w:p>
    <w:p w:rsidR="0004448B" w:rsidRDefault="009149FB" w:rsidP="003A0562">
      <w:pPr>
        <w:spacing w:line="360" w:lineRule="auto"/>
        <w:ind w:firstLine="708"/>
        <w:jc w:val="both"/>
        <w:rPr>
          <w:rFonts w:ascii="Times New Roman" w:eastAsia="Trebuchet MS" w:hAnsi="Times New Roman" w:cs="Times New Roman"/>
        </w:rPr>
      </w:pPr>
      <w:r>
        <w:rPr>
          <w:rFonts w:ascii="Times New Roman" w:eastAsia="Trebuchet MS" w:hAnsi="Times New Roman" w:cs="Times New Roman"/>
        </w:rPr>
        <w:t xml:space="preserve">La actividad </w:t>
      </w:r>
      <w:r w:rsidR="003A0562">
        <w:rPr>
          <w:rFonts w:ascii="Times New Roman" w:eastAsia="Trebuchet MS" w:hAnsi="Times New Roman" w:cs="Times New Roman"/>
        </w:rPr>
        <w:t>de</w:t>
      </w:r>
      <w:r>
        <w:rPr>
          <w:rFonts w:ascii="Times New Roman" w:eastAsia="Trebuchet MS" w:hAnsi="Times New Roman" w:cs="Times New Roman"/>
        </w:rPr>
        <w:t xml:space="preserve"> parte de estas empresas, </w:t>
      </w:r>
      <w:r w:rsidR="003A0562">
        <w:rPr>
          <w:rFonts w:ascii="Times New Roman" w:eastAsia="Trebuchet MS" w:hAnsi="Times New Roman" w:cs="Times New Roman"/>
        </w:rPr>
        <w:t xml:space="preserve">es </w:t>
      </w:r>
      <w:r>
        <w:rPr>
          <w:rFonts w:ascii="Times New Roman" w:eastAsia="Trebuchet MS" w:hAnsi="Times New Roman" w:cs="Times New Roman"/>
        </w:rPr>
        <w:t xml:space="preserve">la fabricación de productos tubulares (tubos sin costuras y sus </w:t>
      </w:r>
      <w:proofErr w:type="spellStart"/>
      <w:r>
        <w:rPr>
          <w:rFonts w:ascii="Times New Roman" w:eastAsia="Trebuchet MS" w:hAnsi="Times New Roman" w:cs="Times New Roman"/>
        </w:rPr>
        <w:t>cuplas</w:t>
      </w:r>
      <w:proofErr w:type="spellEnd"/>
      <w:r>
        <w:rPr>
          <w:rFonts w:ascii="Times New Roman" w:eastAsia="Trebuchet MS" w:hAnsi="Times New Roman" w:cs="Times New Roman"/>
        </w:rPr>
        <w:t>, varillas de bombeo de gas o petróleo, etc.)</w:t>
      </w:r>
      <w:r w:rsidR="003A0562">
        <w:rPr>
          <w:rFonts w:ascii="Times New Roman" w:eastAsia="Trebuchet MS" w:hAnsi="Times New Roman" w:cs="Times New Roman"/>
        </w:rPr>
        <w:t xml:space="preserve">; </w:t>
      </w:r>
      <w:r>
        <w:rPr>
          <w:rFonts w:ascii="Times New Roman" w:eastAsia="Trebuchet MS" w:hAnsi="Times New Roman" w:cs="Times New Roman"/>
        </w:rPr>
        <w:t xml:space="preserve">en otra, </w:t>
      </w:r>
      <w:r w:rsidR="003A0562">
        <w:rPr>
          <w:rFonts w:ascii="Times New Roman" w:eastAsia="Trebuchet MS" w:hAnsi="Times New Roman" w:cs="Times New Roman"/>
        </w:rPr>
        <w:t xml:space="preserve">es </w:t>
      </w:r>
      <w:r>
        <w:rPr>
          <w:rFonts w:ascii="Times New Roman" w:eastAsia="Trebuchet MS" w:hAnsi="Times New Roman" w:cs="Times New Roman"/>
        </w:rPr>
        <w:t>la de productos planos conformando paquetes de hojas o bobinas de acero.  E</w:t>
      </w:r>
      <w:r w:rsidR="003A0562">
        <w:rPr>
          <w:rFonts w:ascii="Times New Roman" w:eastAsia="Trebuchet MS" w:hAnsi="Times New Roman" w:cs="Times New Roman"/>
        </w:rPr>
        <w:t>l</w:t>
      </w:r>
      <w:r>
        <w:rPr>
          <w:rFonts w:ascii="Times New Roman" w:eastAsia="Trebuchet MS" w:hAnsi="Times New Roman" w:cs="Times New Roman"/>
        </w:rPr>
        <w:t xml:space="preserve"> avance</w:t>
      </w:r>
      <w:r w:rsidR="003A0562">
        <w:rPr>
          <w:rFonts w:ascii="Times New Roman" w:eastAsia="Trebuchet MS" w:hAnsi="Times New Roman" w:cs="Times New Roman"/>
        </w:rPr>
        <w:t xml:space="preserve"> en la tarea de auditor</w:t>
      </w:r>
      <w:r>
        <w:rPr>
          <w:rFonts w:ascii="Times New Roman" w:eastAsia="Trebuchet MS" w:hAnsi="Times New Roman" w:cs="Times New Roman"/>
        </w:rPr>
        <w:t xml:space="preserve"> se vincul</w:t>
      </w:r>
      <w:r w:rsidR="003A0562">
        <w:rPr>
          <w:rFonts w:ascii="Times New Roman" w:eastAsia="Trebuchet MS" w:hAnsi="Times New Roman" w:cs="Times New Roman"/>
        </w:rPr>
        <w:t>ó</w:t>
      </w:r>
      <w:r w:rsidR="00D71F5C">
        <w:rPr>
          <w:rFonts w:ascii="Times New Roman" w:eastAsia="Trebuchet MS" w:hAnsi="Times New Roman" w:cs="Times New Roman"/>
        </w:rPr>
        <w:t xml:space="preserve"> </w:t>
      </w:r>
      <w:r w:rsidR="003A0562">
        <w:rPr>
          <w:rFonts w:ascii="Times New Roman" w:eastAsia="Trebuchet MS" w:hAnsi="Times New Roman" w:cs="Times New Roman"/>
        </w:rPr>
        <w:t xml:space="preserve">por un lado a la mejoría en los sistemas de las empresas, siguiendo </w:t>
      </w:r>
      <w:r>
        <w:rPr>
          <w:rFonts w:ascii="Times New Roman" w:eastAsia="Trebuchet MS" w:hAnsi="Times New Roman" w:cs="Times New Roman"/>
        </w:rPr>
        <w:t>las etapas de  migración a SAP como sistema de gestión y registración</w:t>
      </w:r>
      <w:r w:rsidR="003A0562">
        <w:rPr>
          <w:rFonts w:ascii="Times New Roman" w:eastAsia="Trebuchet MS" w:hAnsi="Times New Roman" w:cs="Times New Roman"/>
        </w:rPr>
        <w:t xml:space="preserve"> y por otro, </w:t>
      </w:r>
      <w:r>
        <w:rPr>
          <w:rFonts w:ascii="Times New Roman" w:eastAsia="Trebuchet MS" w:hAnsi="Times New Roman" w:cs="Times New Roman"/>
        </w:rPr>
        <w:t xml:space="preserve"> a la tecnología aplicada a la auditoría.  </w:t>
      </w:r>
      <w:r>
        <w:rPr>
          <w:rFonts w:ascii="Times New Roman" w:eastAsia="Trebuchet MS" w:hAnsi="Times New Roman" w:cs="Times New Roman"/>
        </w:rPr>
        <w:tab/>
      </w:r>
    </w:p>
    <w:p w:rsidR="003D1FCC" w:rsidRDefault="009149FB" w:rsidP="00561212">
      <w:pPr>
        <w:spacing w:line="360" w:lineRule="auto"/>
        <w:jc w:val="both"/>
        <w:rPr>
          <w:rFonts w:ascii="Times New Roman" w:eastAsia="Trebuchet MS" w:hAnsi="Times New Roman" w:cs="Times New Roman"/>
        </w:rPr>
      </w:pPr>
      <w:r>
        <w:rPr>
          <w:rFonts w:ascii="Times New Roman" w:eastAsia="Trebuchet MS" w:hAnsi="Times New Roman" w:cs="Times New Roman"/>
        </w:rPr>
        <w:lastRenderedPageBreak/>
        <w:tab/>
        <w:t>Como paso principal en los procesos de valoración de riesgos</w:t>
      </w:r>
      <w:r w:rsidR="00B6582E">
        <w:rPr>
          <w:rFonts w:ascii="Times New Roman" w:eastAsia="Trebuchet MS" w:hAnsi="Times New Roman" w:cs="Times New Roman"/>
        </w:rPr>
        <w:t xml:space="preserve">, los auditores debíamos aprender lo esencial de la fabricación y de los productos a relevar.  Previo a cada </w:t>
      </w:r>
      <w:r w:rsidR="003A0562">
        <w:rPr>
          <w:rFonts w:ascii="Times New Roman" w:eastAsia="Trebuchet MS" w:hAnsi="Times New Roman" w:cs="Times New Roman"/>
        </w:rPr>
        <w:t>procedimiento de auditoría, se organizaba una reunión de programación en la cual se e</w:t>
      </w:r>
      <w:r w:rsidR="00B6582E">
        <w:rPr>
          <w:rFonts w:ascii="Times New Roman" w:eastAsia="Trebuchet MS" w:hAnsi="Times New Roman" w:cs="Times New Roman"/>
        </w:rPr>
        <w:t xml:space="preserve">stablecía </w:t>
      </w:r>
      <w:r w:rsidR="003A0562">
        <w:rPr>
          <w:rFonts w:ascii="Times New Roman" w:eastAsia="Trebuchet MS" w:hAnsi="Times New Roman" w:cs="Times New Roman"/>
        </w:rPr>
        <w:t xml:space="preserve">la operatoria a seguir, se </w:t>
      </w:r>
      <w:r w:rsidR="00D6007A">
        <w:rPr>
          <w:rFonts w:ascii="Times New Roman" w:eastAsia="Trebuchet MS" w:hAnsi="Times New Roman" w:cs="Times New Roman"/>
        </w:rPr>
        <w:t xml:space="preserve">describía el sector a relevar y cómo iba a estar estibado. Se definía </w:t>
      </w:r>
      <w:r w:rsidR="005E41BB">
        <w:rPr>
          <w:rFonts w:ascii="Times New Roman" w:eastAsia="Trebuchet MS" w:hAnsi="Times New Roman" w:cs="Times New Roman"/>
        </w:rPr>
        <w:t xml:space="preserve">la forma en que se iba a relevar, cuánto personal aportaba la empresa y cuántos auditores iríamos y si iba a haber movimientos de material, o si iba a mantenerse la parada del sector. Muchos inventarios se hacían en feriados, sábados o en enero, durante la parada de planta por mantenimiento. Se preparaban etiquetas para identificar materiales no identificados. Se definía cómo listar el material y a qué hora se iniciaba el procedimiento, por contar con dichos listados. La mayor parte de los relevamientos era por barrida geográfica. Se definía cómo se iban a marcar los lotes sin identificación, o los que representaban problemas. Hay que tener en cuenta que estos materiales no pueden ser manipulados  por una persona, debido al peso y volumen de cada ítem. De tratarse de material que no mostraba identificación, se debía pedir que una grúa o un </w:t>
      </w:r>
      <w:proofErr w:type="spellStart"/>
      <w:r w:rsidR="005E41BB">
        <w:rPr>
          <w:rFonts w:ascii="Times New Roman" w:eastAsia="Trebuchet MS" w:hAnsi="Times New Roman" w:cs="Times New Roman"/>
        </w:rPr>
        <w:t>autoelevador</w:t>
      </w:r>
      <w:proofErr w:type="spellEnd"/>
      <w:r w:rsidR="005E41BB">
        <w:rPr>
          <w:rFonts w:ascii="Times New Roman" w:eastAsia="Trebuchet MS" w:hAnsi="Times New Roman" w:cs="Times New Roman"/>
        </w:rPr>
        <w:t xml:space="preserve">  </w:t>
      </w:r>
      <w:proofErr w:type="gramStart"/>
      <w:r w:rsidR="005E41BB">
        <w:rPr>
          <w:rFonts w:ascii="Times New Roman" w:eastAsia="Trebuchet MS" w:hAnsi="Times New Roman" w:cs="Times New Roman"/>
        </w:rPr>
        <w:t>moviera</w:t>
      </w:r>
      <w:proofErr w:type="gramEnd"/>
      <w:r w:rsidR="005E41BB">
        <w:rPr>
          <w:rFonts w:ascii="Times New Roman" w:eastAsia="Trebuchet MS" w:hAnsi="Times New Roman" w:cs="Times New Roman"/>
        </w:rPr>
        <w:t xml:space="preserve"> la pieza, para buscar la identificación. </w:t>
      </w:r>
    </w:p>
    <w:p w:rsidR="009149FB" w:rsidRDefault="003D1FCC" w:rsidP="003D1FCC">
      <w:pPr>
        <w:spacing w:line="360" w:lineRule="auto"/>
        <w:ind w:firstLine="708"/>
        <w:jc w:val="both"/>
        <w:rPr>
          <w:rFonts w:ascii="Times New Roman" w:eastAsia="Trebuchet MS" w:hAnsi="Times New Roman" w:cs="Times New Roman"/>
        </w:rPr>
      </w:pPr>
      <w:r>
        <w:rPr>
          <w:rFonts w:ascii="Times New Roman" w:eastAsia="Trebuchet MS" w:hAnsi="Times New Roman" w:cs="Times New Roman"/>
        </w:rPr>
        <w:t>U</w:t>
      </w:r>
      <w:r w:rsidR="005E41BB">
        <w:rPr>
          <w:rFonts w:ascii="Times New Roman" w:eastAsia="Trebuchet MS" w:hAnsi="Times New Roman" w:cs="Times New Roman"/>
        </w:rPr>
        <w:t xml:space="preserve">n punto especial a considerar es el personal del estudio de auditoría y </w:t>
      </w:r>
      <w:r w:rsidR="00023B7F">
        <w:rPr>
          <w:rFonts w:ascii="Times New Roman" w:eastAsia="Trebuchet MS" w:hAnsi="Times New Roman" w:cs="Times New Roman"/>
        </w:rPr>
        <w:t xml:space="preserve">la interacción con </w:t>
      </w:r>
      <w:r w:rsidR="005E41BB">
        <w:rPr>
          <w:rFonts w:ascii="Times New Roman" w:eastAsia="Trebuchet MS" w:hAnsi="Times New Roman" w:cs="Times New Roman"/>
        </w:rPr>
        <w:t xml:space="preserve">el del sector. </w:t>
      </w:r>
      <w:r w:rsidR="00023B7F">
        <w:rPr>
          <w:rFonts w:ascii="Times New Roman" w:eastAsia="Trebuchet MS" w:hAnsi="Times New Roman" w:cs="Times New Roman"/>
        </w:rPr>
        <w:t>En las tareas no se requería</w:t>
      </w:r>
      <w:r w:rsidR="0033680D">
        <w:rPr>
          <w:rFonts w:ascii="Times New Roman" w:eastAsia="Trebuchet MS" w:hAnsi="Times New Roman" w:cs="Times New Roman"/>
        </w:rPr>
        <w:t xml:space="preserve"> cuestiones específicas de </w:t>
      </w:r>
      <w:r w:rsidR="00023B7F">
        <w:rPr>
          <w:rFonts w:ascii="Times New Roman" w:eastAsia="Trebuchet MS" w:hAnsi="Times New Roman" w:cs="Times New Roman"/>
        </w:rPr>
        <w:t xml:space="preserve"> profesionalidad, pero sí</w:t>
      </w:r>
      <w:r w:rsidR="0033680D">
        <w:rPr>
          <w:rFonts w:ascii="Times New Roman" w:eastAsia="Trebuchet MS" w:hAnsi="Times New Roman" w:cs="Times New Roman"/>
        </w:rPr>
        <w:t xml:space="preserve"> tener una cierta capacitación sobre </w:t>
      </w:r>
      <w:r w:rsidR="00023B7F">
        <w:rPr>
          <w:rFonts w:ascii="Times New Roman" w:eastAsia="Trebuchet MS" w:hAnsi="Times New Roman" w:cs="Times New Roman"/>
        </w:rPr>
        <w:t xml:space="preserve"> el material a compulsar y cómo se debía desarrollar la tarea.</w:t>
      </w:r>
      <w:r w:rsidR="0033680D">
        <w:rPr>
          <w:rFonts w:ascii="Times New Roman" w:eastAsia="Trebuchet MS" w:hAnsi="Times New Roman" w:cs="Times New Roman"/>
        </w:rPr>
        <w:t xml:space="preserve">  Y antes de los </w:t>
      </w:r>
      <w:proofErr w:type="spellStart"/>
      <w:r w:rsidR="0033680D">
        <w:rPr>
          <w:rFonts w:ascii="Times New Roman" w:eastAsia="Trebuchet MS" w:hAnsi="Times New Roman" w:cs="Times New Roman"/>
        </w:rPr>
        <w:t>rele</w:t>
      </w:r>
      <w:proofErr w:type="spellEnd"/>
      <w:r w:rsidR="0033680D">
        <w:rPr>
          <w:rFonts w:ascii="Times New Roman" w:eastAsia="Trebuchet MS" w:hAnsi="Times New Roman" w:cs="Times New Roman"/>
        </w:rPr>
        <w:t xml:space="preserve"> </w:t>
      </w:r>
      <w:proofErr w:type="spellStart"/>
      <w:r w:rsidR="0033680D">
        <w:rPr>
          <w:rFonts w:ascii="Times New Roman" w:eastAsia="Trebuchet MS" w:hAnsi="Times New Roman" w:cs="Times New Roman"/>
        </w:rPr>
        <w:t>vamientos</w:t>
      </w:r>
      <w:proofErr w:type="spellEnd"/>
      <w:r w:rsidR="0033680D">
        <w:rPr>
          <w:rFonts w:ascii="Times New Roman" w:eastAsia="Trebuchet MS" w:hAnsi="Times New Roman" w:cs="Times New Roman"/>
        </w:rPr>
        <w:t>, cada auditor se debía capacitar sobre cuestiones de Seguridad en un curso específico y contar con elementos de protección personal</w:t>
      </w:r>
      <w:proofErr w:type="gramStart"/>
      <w:r w:rsidR="0033680D">
        <w:rPr>
          <w:rFonts w:ascii="Times New Roman" w:eastAsia="Trebuchet MS" w:hAnsi="Times New Roman" w:cs="Times New Roman"/>
        </w:rPr>
        <w:t>,,</w:t>
      </w:r>
      <w:proofErr w:type="gramEnd"/>
      <w:r w:rsidR="0033680D">
        <w:rPr>
          <w:rFonts w:ascii="Times New Roman" w:eastAsia="Trebuchet MS" w:hAnsi="Times New Roman" w:cs="Times New Roman"/>
        </w:rPr>
        <w:t xml:space="preserve"> provisto por el estudio.</w:t>
      </w:r>
      <w:r w:rsidR="00023B7F">
        <w:rPr>
          <w:rFonts w:ascii="Times New Roman" w:eastAsia="Trebuchet MS" w:hAnsi="Times New Roman" w:cs="Times New Roman"/>
        </w:rPr>
        <w:t xml:space="preserve"> Lo fundamental es la coordinación del grupo y tener una adecuada información por parte del personal del sector, que además intervenía las planillas de relevamiento, involucrándose y respaldando las diferencias detectadas, de producirse.  </w:t>
      </w:r>
      <w:r w:rsidR="0033680D">
        <w:rPr>
          <w:rFonts w:ascii="Times New Roman" w:eastAsia="Trebuchet MS" w:hAnsi="Times New Roman" w:cs="Times New Roman"/>
        </w:rPr>
        <w:t xml:space="preserve">Siempre se comenzaba haciendo una inspección ocular, para detectar cada porción de material objeto de recuento. En algunas sedes, se pedía un “mapa” con identificación de las estibas y la denominación de cada sector. </w:t>
      </w:r>
    </w:p>
    <w:p w:rsidR="00300B8D" w:rsidRDefault="00300B8D" w:rsidP="003D1FCC">
      <w:pPr>
        <w:spacing w:line="360" w:lineRule="auto"/>
        <w:ind w:firstLine="708"/>
        <w:jc w:val="both"/>
        <w:rPr>
          <w:rFonts w:ascii="Times New Roman" w:eastAsia="Trebuchet MS" w:hAnsi="Times New Roman" w:cs="Times New Roman"/>
        </w:rPr>
      </w:pPr>
      <w:r>
        <w:rPr>
          <w:rFonts w:ascii="Times New Roman" w:eastAsia="Trebuchet MS" w:hAnsi="Times New Roman" w:cs="Times New Roman"/>
        </w:rPr>
        <w:t xml:space="preserve">En el período anterior a 2006, los relevamientos se hacían con listados de papel, </w:t>
      </w:r>
      <w:r w:rsidR="006A63FD">
        <w:rPr>
          <w:rFonts w:ascii="Times New Roman" w:eastAsia="Trebuchet MS" w:hAnsi="Times New Roman" w:cs="Times New Roman"/>
        </w:rPr>
        <w:t>con</w:t>
      </w:r>
      <w:r>
        <w:rPr>
          <w:rFonts w:ascii="Times New Roman" w:eastAsia="Trebuchet MS" w:hAnsi="Times New Roman" w:cs="Times New Roman"/>
        </w:rPr>
        <w:t xml:space="preserve">  anota</w:t>
      </w:r>
      <w:r w:rsidR="006A63FD">
        <w:rPr>
          <w:rFonts w:ascii="Times New Roman" w:eastAsia="Trebuchet MS" w:hAnsi="Times New Roman" w:cs="Times New Roman"/>
        </w:rPr>
        <w:t>ciones</w:t>
      </w:r>
      <w:r>
        <w:rPr>
          <w:rFonts w:ascii="Times New Roman" w:eastAsia="Trebuchet MS" w:hAnsi="Times New Roman" w:cs="Times New Roman"/>
        </w:rPr>
        <w:t xml:space="preserve"> manual</w:t>
      </w:r>
      <w:r w:rsidR="006A63FD">
        <w:rPr>
          <w:rFonts w:ascii="Times New Roman" w:eastAsia="Trebuchet MS" w:hAnsi="Times New Roman" w:cs="Times New Roman"/>
        </w:rPr>
        <w:t>es de</w:t>
      </w:r>
      <w:r>
        <w:rPr>
          <w:rFonts w:ascii="Times New Roman" w:eastAsia="Trebuchet MS" w:hAnsi="Times New Roman" w:cs="Times New Roman"/>
        </w:rPr>
        <w:t xml:space="preserve"> las cantidades</w:t>
      </w:r>
      <w:r w:rsidR="00586D02">
        <w:rPr>
          <w:rFonts w:ascii="Times New Roman" w:eastAsia="Trebuchet MS" w:hAnsi="Times New Roman" w:cs="Times New Roman"/>
        </w:rPr>
        <w:t xml:space="preserve">. En un determinado inventario de despacho de productos terminados, se necesitaba una semana en los que ya había movimiento de material </w:t>
      </w:r>
      <w:r w:rsidR="00A811BF">
        <w:rPr>
          <w:rFonts w:ascii="Times New Roman" w:eastAsia="Trebuchet MS" w:hAnsi="Times New Roman" w:cs="Times New Roman"/>
        </w:rPr>
        <w:t xml:space="preserve">para ratificar o rectificar las diferencias </w:t>
      </w:r>
      <w:r w:rsidR="00586D02">
        <w:rPr>
          <w:rFonts w:ascii="Times New Roman" w:eastAsia="Trebuchet MS" w:hAnsi="Times New Roman" w:cs="Times New Roman"/>
        </w:rPr>
        <w:t xml:space="preserve">y al cabo de la misma, se daba por finalizado </w:t>
      </w:r>
      <w:r w:rsidR="00A811BF">
        <w:rPr>
          <w:rFonts w:ascii="Times New Roman" w:eastAsia="Trebuchet MS" w:hAnsi="Times New Roman" w:cs="Times New Roman"/>
        </w:rPr>
        <w:t xml:space="preserve">el procedimiento obteniéndose como resultado </w:t>
      </w:r>
      <w:r w:rsidR="00586D02">
        <w:rPr>
          <w:rFonts w:ascii="Times New Roman" w:eastAsia="Trebuchet MS" w:hAnsi="Times New Roman" w:cs="Times New Roman"/>
        </w:rPr>
        <w:t>un porcentaje “aceptable”</w:t>
      </w:r>
      <w:r w:rsidR="00A811BF">
        <w:rPr>
          <w:rFonts w:ascii="Times New Roman" w:eastAsia="Trebuchet MS" w:hAnsi="Times New Roman" w:cs="Times New Roman"/>
        </w:rPr>
        <w:t xml:space="preserve"> de desvío.</w:t>
      </w:r>
      <w:r w:rsidR="00586D02">
        <w:rPr>
          <w:rFonts w:ascii="Times New Roman" w:eastAsia="Trebuchet MS" w:hAnsi="Times New Roman" w:cs="Times New Roman"/>
        </w:rPr>
        <w:t xml:space="preserve">  Luego y por algunos años, se utilizaron dispositivos lectores de códigos de barra provistos por el Estudio, que descargaban lo relevado a listados que</w:t>
      </w:r>
      <w:r w:rsidR="00A811BF">
        <w:rPr>
          <w:rFonts w:ascii="Times New Roman" w:eastAsia="Trebuchet MS" w:hAnsi="Times New Roman" w:cs="Times New Roman"/>
        </w:rPr>
        <w:t>,</w:t>
      </w:r>
      <w:r w:rsidR="00586D02">
        <w:rPr>
          <w:rFonts w:ascii="Times New Roman" w:eastAsia="Trebuchet MS" w:hAnsi="Times New Roman" w:cs="Times New Roman"/>
        </w:rPr>
        <w:t xml:space="preserve"> transformados a planillas Excel, eran cruzados con los listados de stock para detectar diferencias a fin de relevamiento, y </w:t>
      </w:r>
      <w:r w:rsidR="0085477A">
        <w:rPr>
          <w:rFonts w:ascii="Times New Roman" w:eastAsia="Trebuchet MS" w:hAnsi="Times New Roman" w:cs="Times New Roman"/>
        </w:rPr>
        <w:t>luego de</w:t>
      </w:r>
      <w:r w:rsidR="00586D02">
        <w:rPr>
          <w:rFonts w:ascii="Times New Roman" w:eastAsia="Trebuchet MS" w:hAnsi="Times New Roman" w:cs="Times New Roman"/>
        </w:rPr>
        <w:t xml:space="preserve"> un plazo para que el sector pudiera justificar diferencias adjuntando la documentación </w:t>
      </w:r>
      <w:proofErr w:type="spellStart"/>
      <w:r w:rsidR="00586D02">
        <w:rPr>
          <w:rFonts w:ascii="Times New Roman" w:eastAsia="Trebuchet MS" w:hAnsi="Times New Roman" w:cs="Times New Roman"/>
        </w:rPr>
        <w:t>respaldatoria</w:t>
      </w:r>
      <w:proofErr w:type="spellEnd"/>
      <w:r w:rsidR="0085477A">
        <w:rPr>
          <w:rFonts w:ascii="Times New Roman" w:eastAsia="Trebuchet MS" w:hAnsi="Times New Roman" w:cs="Times New Roman"/>
        </w:rPr>
        <w:t>, registrar los ajustes correspondientes</w:t>
      </w:r>
      <w:r w:rsidR="00586D02">
        <w:rPr>
          <w:rFonts w:ascii="Times New Roman" w:eastAsia="Trebuchet MS" w:hAnsi="Times New Roman" w:cs="Times New Roman"/>
        </w:rPr>
        <w:t xml:space="preserve">. </w:t>
      </w:r>
      <w:r w:rsidR="00C8372D">
        <w:rPr>
          <w:rFonts w:ascii="Times New Roman" w:eastAsia="Trebuchet MS" w:hAnsi="Times New Roman" w:cs="Times New Roman"/>
        </w:rPr>
        <w:t xml:space="preserve">Los problemas y las incorrecciones detectadas eran: </w:t>
      </w:r>
      <w:proofErr w:type="gramStart"/>
      <w:r w:rsidR="00C8372D">
        <w:rPr>
          <w:rFonts w:ascii="Times New Roman" w:eastAsia="Trebuchet MS" w:hAnsi="Times New Roman" w:cs="Times New Roman"/>
        </w:rPr>
        <w:t>material sin identificación, faltantes, sobrantes</w:t>
      </w:r>
      <w:proofErr w:type="gramEnd"/>
      <w:r w:rsidR="00C8372D">
        <w:rPr>
          <w:rFonts w:ascii="Times New Roman" w:eastAsia="Trebuchet MS" w:hAnsi="Times New Roman" w:cs="Times New Roman"/>
        </w:rPr>
        <w:t xml:space="preserve">, “gemelos” (más de una unidad relevada con la misma identificación”). Un riesgo especial era que la identificación del material no coincidiera con el </w:t>
      </w:r>
      <w:r w:rsidR="00C8372D">
        <w:rPr>
          <w:rFonts w:ascii="Times New Roman" w:eastAsia="Trebuchet MS" w:hAnsi="Times New Roman" w:cs="Times New Roman"/>
        </w:rPr>
        <w:lastRenderedPageBreak/>
        <w:t xml:space="preserve">material listado: esto siempre requiere por parte del auditor un buen conocimiento de las características del material, que figuraban en las etiquetas en la mayor parte de los casos, en cuanto a medidas como diámetro, o longitud, distinguibles a simple vista para quienes tuvieran una mínima capacitación. </w:t>
      </w:r>
    </w:p>
    <w:p w:rsidR="00C8372D" w:rsidRDefault="00C8372D" w:rsidP="003D1FCC">
      <w:pPr>
        <w:spacing w:line="360" w:lineRule="auto"/>
        <w:ind w:firstLine="708"/>
        <w:jc w:val="both"/>
        <w:rPr>
          <w:rFonts w:ascii="Times New Roman" w:eastAsia="Trebuchet MS" w:hAnsi="Times New Roman" w:cs="Times New Roman"/>
        </w:rPr>
      </w:pPr>
      <w:r>
        <w:rPr>
          <w:rFonts w:ascii="Times New Roman" w:eastAsia="Trebuchet MS" w:hAnsi="Times New Roman" w:cs="Times New Roman"/>
        </w:rPr>
        <w:t>Por el contrario, con los avances tecnológicos e instalando antenas en todos los sectores a relevar, se trabajó con dispositivos de la empresa “</w:t>
      </w:r>
      <w:proofErr w:type="spellStart"/>
      <w:r>
        <w:rPr>
          <w:rFonts w:ascii="Times New Roman" w:eastAsia="Trebuchet MS" w:hAnsi="Times New Roman" w:cs="Times New Roman"/>
        </w:rPr>
        <w:t>on</w:t>
      </w:r>
      <w:proofErr w:type="spellEnd"/>
      <w:r>
        <w:rPr>
          <w:rFonts w:ascii="Times New Roman" w:eastAsia="Trebuchet MS" w:hAnsi="Times New Roman" w:cs="Times New Roman"/>
        </w:rPr>
        <w:t xml:space="preserve"> – line” para hacer la barrida del material, con equipos de trabajo mixtos de personal del sector y de auditores externos,   completando en muy breve período de tiempo el procedimiento, </w:t>
      </w:r>
      <w:r w:rsidR="00A811BF">
        <w:rPr>
          <w:rFonts w:ascii="Times New Roman" w:eastAsia="Trebuchet MS" w:hAnsi="Times New Roman" w:cs="Times New Roman"/>
        </w:rPr>
        <w:t xml:space="preserve">siendo </w:t>
      </w:r>
      <w:r>
        <w:rPr>
          <w:rFonts w:ascii="Times New Roman" w:eastAsia="Trebuchet MS" w:hAnsi="Times New Roman" w:cs="Times New Roman"/>
        </w:rPr>
        <w:t xml:space="preserve">el resultado </w:t>
      </w:r>
      <w:r w:rsidR="004D4C5C">
        <w:rPr>
          <w:rFonts w:ascii="Times New Roman" w:eastAsia="Trebuchet MS" w:hAnsi="Times New Roman" w:cs="Times New Roman"/>
        </w:rPr>
        <w:t>un listado con el material relevado, los sobrantes y faltantes.  Y dado que el sector trabajaba con la misma tecnología, los inventarios mostraban una mejoría absoluta en la gestión del material,</w:t>
      </w:r>
      <w:r w:rsidR="00A811BF">
        <w:rPr>
          <w:rFonts w:ascii="Times New Roman" w:eastAsia="Trebuchet MS" w:hAnsi="Times New Roman" w:cs="Times New Roman"/>
        </w:rPr>
        <w:t xml:space="preserve"> y los</w:t>
      </w:r>
      <w:r w:rsidR="004D4C5C">
        <w:rPr>
          <w:rFonts w:ascii="Times New Roman" w:eastAsia="Trebuchet MS" w:hAnsi="Times New Roman" w:cs="Times New Roman"/>
        </w:rPr>
        <w:t xml:space="preserve"> controles aplicados previamente implicaban </w:t>
      </w:r>
      <w:r w:rsidR="00A811BF">
        <w:rPr>
          <w:rFonts w:ascii="Times New Roman" w:eastAsia="Trebuchet MS" w:hAnsi="Times New Roman" w:cs="Times New Roman"/>
        </w:rPr>
        <w:t xml:space="preserve">inventarios </w:t>
      </w:r>
      <w:r w:rsidR="004D4C5C">
        <w:rPr>
          <w:rFonts w:ascii="Times New Roman" w:eastAsia="Trebuchet MS" w:hAnsi="Times New Roman" w:cs="Times New Roman"/>
        </w:rPr>
        <w:t xml:space="preserve">con ninguna o muy poca diferencia detectada entre lo listado y lo relevado. </w:t>
      </w:r>
    </w:p>
    <w:p w:rsidR="004D4C5C" w:rsidRDefault="004D4C5C" w:rsidP="003D1FCC">
      <w:pPr>
        <w:spacing w:line="360" w:lineRule="auto"/>
        <w:ind w:firstLine="708"/>
        <w:jc w:val="both"/>
        <w:rPr>
          <w:rFonts w:ascii="Times New Roman" w:eastAsia="Trebuchet MS" w:hAnsi="Times New Roman" w:cs="Times New Roman"/>
        </w:rPr>
      </w:pPr>
      <w:r>
        <w:rPr>
          <w:rFonts w:ascii="Times New Roman" w:eastAsia="Trebuchet MS" w:hAnsi="Times New Roman" w:cs="Times New Roman"/>
        </w:rPr>
        <w:t xml:space="preserve">El haber trabajado en ambas etapas permite poder comparar los avances en la detección de diferencias y la significativa mejora en la seguridad de los controles de auditoría, lo que de ninguna manera implica que los controles periódicos por parte de auditores externos sean superfluos. Eventualmente, </w:t>
      </w:r>
      <w:r w:rsidR="0033630C">
        <w:rPr>
          <w:rFonts w:ascii="Times New Roman" w:eastAsia="Trebuchet MS" w:hAnsi="Times New Roman" w:cs="Times New Roman"/>
        </w:rPr>
        <w:t xml:space="preserve">las auditorías </w:t>
      </w:r>
      <w:r>
        <w:rPr>
          <w:rFonts w:ascii="Times New Roman" w:eastAsia="Trebuchet MS" w:hAnsi="Times New Roman" w:cs="Times New Roman"/>
        </w:rPr>
        <w:t xml:space="preserve">pueden ratificar que los controles internos de la propia empresa son adecuados, y que </w:t>
      </w:r>
      <w:r w:rsidR="0033630C">
        <w:rPr>
          <w:rFonts w:ascii="Times New Roman" w:eastAsia="Trebuchet MS" w:hAnsi="Times New Roman" w:cs="Times New Roman"/>
        </w:rPr>
        <w:t>los citados avances tecnológicos han sido determinantes, al menos en las empresas en las que se han tenido estas experiencias, de absoluto crecimiento en la profesionalidad y rigurosidad de la gestión de material y del propio control interno. T</w:t>
      </w:r>
      <w:r>
        <w:rPr>
          <w:rFonts w:ascii="Times New Roman" w:eastAsia="Trebuchet MS" w:hAnsi="Times New Roman" w:cs="Times New Roman"/>
        </w:rPr>
        <w:t xml:space="preserve">anto los riesgos inherentes – de las propias partidas sujetas a control – como los riesgos de control – de no detectar incorrecciones </w:t>
      </w:r>
      <w:r w:rsidR="0033630C">
        <w:rPr>
          <w:rFonts w:ascii="Times New Roman" w:eastAsia="Trebuchet MS" w:hAnsi="Times New Roman" w:cs="Times New Roman"/>
        </w:rPr>
        <w:t xml:space="preserve">–darán sustento a la opinión favorable de auditor sobre la auditoría de cada inventario específico.  </w:t>
      </w:r>
    </w:p>
    <w:p w:rsidR="00DC50B3" w:rsidRDefault="005C5921" w:rsidP="00DC50B3">
      <w:pPr>
        <w:spacing w:line="360" w:lineRule="auto"/>
        <w:jc w:val="both"/>
        <w:rPr>
          <w:rFonts w:ascii="Times New Roman" w:eastAsia="Trebuchet MS" w:hAnsi="Times New Roman" w:cs="Times New Roman"/>
        </w:rPr>
      </w:pPr>
      <w:r>
        <w:rPr>
          <w:rFonts w:ascii="Times New Roman" w:eastAsia="Trebuchet MS" w:hAnsi="Times New Roman" w:cs="Times New Roman"/>
        </w:rPr>
        <w:tab/>
        <w:t xml:space="preserve">Reflexionando sobre estas auditorías, y trasladándolas a situaciones teóricas, podríamos preparar una matriz de riesgos, pensando por ejemplo sobre posibilidad de que en una empresa haya material faltante, o sobrante, o mal identificado, o que los auditores no puedan o no sepan detectar diferencias, que se organicen los relevamientos en forma inadecuada, y otro tipo de riesgos similares. Asignando una medición de alto – bajo riesgo, podríamos establecer una combinación de riesgo inherente – riesgo de control </w:t>
      </w:r>
      <w:r w:rsidR="00DC50B3">
        <w:rPr>
          <w:rFonts w:ascii="Times New Roman" w:eastAsia="Trebuchet MS" w:hAnsi="Times New Roman" w:cs="Times New Roman"/>
        </w:rPr>
        <w:t>de características altamente riesgosas, riesgo medio o bajo riesgo. Aplicando esta matriz a diversos aspectos de auditoría y la ponderación porcentual de riesgo de ocurrencia estaríamos haciendo un  posible aporte al proyecto central de un mapa de riesgos de incorrección material.</w:t>
      </w:r>
    </w:p>
    <w:p w:rsidR="006A0BF4" w:rsidRPr="004B0D81" w:rsidRDefault="006A0BF4" w:rsidP="006A0BF4">
      <w:pPr>
        <w:spacing w:line="360" w:lineRule="auto"/>
        <w:jc w:val="both"/>
        <w:rPr>
          <w:rFonts w:ascii="Times New Roman" w:hAnsi="Times New Roman" w:cs="Times New Roman"/>
        </w:rPr>
      </w:pPr>
      <w:r w:rsidRPr="006A0BF4">
        <w:rPr>
          <w:rFonts w:ascii="Times New Roman" w:hAnsi="Times New Roman" w:cs="Times New Roman"/>
          <w:u w:val="single"/>
        </w:rPr>
        <w:t>Palabras Claves</w:t>
      </w:r>
      <w:r>
        <w:rPr>
          <w:rFonts w:ascii="Times New Roman" w:hAnsi="Times New Roman" w:cs="Times New Roman"/>
        </w:rPr>
        <w:t xml:space="preserve"> (3): </w:t>
      </w:r>
      <w:r w:rsidR="009D301D">
        <w:rPr>
          <w:rFonts w:ascii="Times New Roman" w:hAnsi="Times New Roman" w:cs="Times New Roman"/>
        </w:rPr>
        <w:t>Controles físicos – Riesgos de auditoría (incorrección material) – Identificación y evaluación.</w:t>
      </w:r>
    </w:p>
    <w:sectPr w:rsidR="006A0BF4" w:rsidRPr="004B0D81" w:rsidSect="004B0D81">
      <w:pgSz w:w="11906" w:h="16838"/>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B0D81"/>
    <w:rsid w:val="000107D1"/>
    <w:rsid w:val="00023B7F"/>
    <w:rsid w:val="0004448B"/>
    <w:rsid w:val="00080646"/>
    <w:rsid w:val="00090F5E"/>
    <w:rsid w:val="000E0193"/>
    <w:rsid w:val="00177E6E"/>
    <w:rsid w:val="001D6C74"/>
    <w:rsid w:val="0023730E"/>
    <w:rsid w:val="00266487"/>
    <w:rsid w:val="00290537"/>
    <w:rsid w:val="002B7696"/>
    <w:rsid w:val="002D3E25"/>
    <w:rsid w:val="00300B8D"/>
    <w:rsid w:val="0033630C"/>
    <w:rsid w:val="0033680D"/>
    <w:rsid w:val="003A0562"/>
    <w:rsid w:val="003D1FCC"/>
    <w:rsid w:val="003E3EAB"/>
    <w:rsid w:val="00436C14"/>
    <w:rsid w:val="004B0D81"/>
    <w:rsid w:val="004B2E02"/>
    <w:rsid w:val="004D4C5C"/>
    <w:rsid w:val="00517AE0"/>
    <w:rsid w:val="00521326"/>
    <w:rsid w:val="00561212"/>
    <w:rsid w:val="00575ED9"/>
    <w:rsid w:val="00586D02"/>
    <w:rsid w:val="005A7A7C"/>
    <w:rsid w:val="005C5921"/>
    <w:rsid w:val="005D51AE"/>
    <w:rsid w:val="005E41BB"/>
    <w:rsid w:val="005F67B6"/>
    <w:rsid w:val="0060120E"/>
    <w:rsid w:val="006A0BF4"/>
    <w:rsid w:val="006A63FD"/>
    <w:rsid w:val="00754133"/>
    <w:rsid w:val="007E0F36"/>
    <w:rsid w:val="00853744"/>
    <w:rsid w:val="0085477A"/>
    <w:rsid w:val="008556AC"/>
    <w:rsid w:val="00882AB4"/>
    <w:rsid w:val="008A0C0A"/>
    <w:rsid w:val="008C34D0"/>
    <w:rsid w:val="00901FF3"/>
    <w:rsid w:val="009149FB"/>
    <w:rsid w:val="009C711B"/>
    <w:rsid w:val="009D301D"/>
    <w:rsid w:val="009E2F69"/>
    <w:rsid w:val="00A61063"/>
    <w:rsid w:val="00A674FF"/>
    <w:rsid w:val="00A811BF"/>
    <w:rsid w:val="00B1163D"/>
    <w:rsid w:val="00B14098"/>
    <w:rsid w:val="00B44DC8"/>
    <w:rsid w:val="00B6582E"/>
    <w:rsid w:val="00BA3AF1"/>
    <w:rsid w:val="00C1066D"/>
    <w:rsid w:val="00C35445"/>
    <w:rsid w:val="00C64346"/>
    <w:rsid w:val="00C8372D"/>
    <w:rsid w:val="00CF462E"/>
    <w:rsid w:val="00D02063"/>
    <w:rsid w:val="00D0505C"/>
    <w:rsid w:val="00D21BAC"/>
    <w:rsid w:val="00D47C3E"/>
    <w:rsid w:val="00D6007A"/>
    <w:rsid w:val="00D71F5C"/>
    <w:rsid w:val="00DC50B3"/>
    <w:rsid w:val="00DC6BBE"/>
    <w:rsid w:val="00E31ABE"/>
    <w:rsid w:val="00E3282A"/>
    <w:rsid w:val="00E70AA5"/>
    <w:rsid w:val="00E72D30"/>
    <w:rsid w:val="00EE154E"/>
    <w:rsid w:val="00EF6E1A"/>
    <w:rsid w:val="00F22824"/>
    <w:rsid w:val="00FD488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63"/>
  </w:style>
  <w:style w:type="paragraph" w:styleId="Ttulo1">
    <w:name w:val="heading 1"/>
    <w:basedOn w:val="Normal"/>
    <w:next w:val="Normal"/>
    <w:link w:val="Ttulo1Car"/>
    <w:uiPriority w:val="9"/>
    <w:qFormat/>
    <w:rsid w:val="004B0D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B0D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B0D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B0D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B0D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B0D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B0D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B0D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B0D8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0D8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B0D8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B0D8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B0D8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B0D8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B0D8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B0D8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B0D8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B0D81"/>
    <w:rPr>
      <w:rFonts w:eastAsiaTheme="majorEastAsia" w:cstheme="majorBidi"/>
      <w:color w:val="272727" w:themeColor="text1" w:themeTint="D8"/>
    </w:rPr>
  </w:style>
  <w:style w:type="paragraph" w:styleId="Ttulo">
    <w:name w:val="Title"/>
    <w:basedOn w:val="Normal"/>
    <w:next w:val="Normal"/>
    <w:link w:val="TtuloCar"/>
    <w:uiPriority w:val="10"/>
    <w:qFormat/>
    <w:rsid w:val="004B0D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0D8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B0D8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B0D8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B0D81"/>
    <w:pPr>
      <w:spacing w:before="160"/>
      <w:jc w:val="center"/>
    </w:pPr>
    <w:rPr>
      <w:i/>
      <w:iCs/>
      <w:color w:val="404040" w:themeColor="text1" w:themeTint="BF"/>
    </w:rPr>
  </w:style>
  <w:style w:type="character" w:customStyle="1" w:styleId="CitaCar">
    <w:name w:val="Cita Car"/>
    <w:basedOn w:val="Fuentedeprrafopredeter"/>
    <w:link w:val="Cita"/>
    <w:uiPriority w:val="29"/>
    <w:rsid w:val="004B0D81"/>
    <w:rPr>
      <w:i/>
      <w:iCs/>
      <w:color w:val="404040" w:themeColor="text1" w:themeTint="BF"/>
    </w:rPr>
  </w:style>
  <w:style w:type="paragraph" w:styleId="Prrafodelista">
    <w:name w:val="List Paragraph"/>
    <w:basedOn w:val="Normal"/>
    <w:uiPriority w:val="34"/>
    <w:qFormat/>
    <w:rsid w:val="004B0D81"/>
    <w:pPr>
      <w:ind w:left="720"/>
      <w:contextualSpacing/>
    </w:pPr>
  </w:style>
  <w:style w:type="character" w:styleId="nfasisintenso">
    <w:name w:val="Intense Emphasis"/>
    <w:basedOn w:val="Fuentedeprrafopredeter"/>
    <w:uiPriority w:val="21"/>
    <w:qFormat/>
    <w:rsid w:val="004B0D81"/>
    <w:rPr>
      <w:i/>
      <w:iCs/>
      <w:color w:val="0F4761" w:themeColor="accent1" w:themeShade="BF"/>
    </w:rPr>
  </w:style>
  <w:style w:type="paragraph" w:styleId="Citadestacada">
    <w:name w:val="Intense Quote"/>
    <w:basedOn w:val="Normal"/>
    <w:next w:val="Normal"/>
    <w:link w:val="CitadestacadaCar"/>
    <w:uiPriority w:val="30"/>
    <w:qFormat/>
    <w:rsid w:val="004B0D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B0D81"/>
    <w:rPr>
      <w:i/>
      <w:iCs/>
      <w:color w:val="0F4761" w:themeColor="accent1" w:themeShade="BF"/>
    </w:rPr>
  </w:style>
  <w:style w:type="character" w:styleId="Referenciaintensa">
    <w:name w:val="Intense Reference"/>
    <w:basedOn w:val="Fuentedeprrafopredeter"/>
    <w:uiPriority w:val="32"/>
    <w:qFormat/>
    <w:rsid w:val="004B0D81"/>
    <w:rPr>
      <w:b/>
      <w:bCs/>
      <w:smallCaps/>
      <w:color w:val="0F4761" w:themeColor="accent1" w:themeShade="BF"/>
      <w:spacing w:val="5"/>
    </w:rPr>
  </w:style>
  <w:style w:type="paragraph" w:styleId="Textodeglobo">
    <w:name w:val="Balloon Text"/>
    <w:basedOn w:val="Normal"/>
    <w:link w:val="TextodegloboCar"/>
    <w:uiPriority w:val="99"/>
    <w:semiHidden/>
    <w:unhideWhenUsed/>
    <w:rsid w:val="00D71F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1F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4</Pages>
  <Words>1504</Words>
  <Characters>8277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Alicia Nadales</dc:creator>
  <cp:keywords/>
  <dc:description/>
  <cp:lastModifiedBy>lcavagliato</cp:lastModifiedBy>
  <cp:revision>27</cp:revision>
  <cp:lastPrinted>2024-09-27T19:34:00Z</cp:lastPrinted>
  <dcterms:created xsi:type="dcterms:W3CDTF">2024-09-27T15:55:00Z</dcterms:created>
  <dcterms:modified xsi:type="dcterms:W3CDTF">2024-09-30T17:53:00Z</dcterms:modified>
</cp:coreProperties>
</file>